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B375F" w14:textId="77777777" w:rsidR="00693AB7" w:rsidRPr="00CE290E" w:rsidRDefault="00693AB7" w:rsidP="00B83867">
      <w:pPr>
        <w:pStyle w:val="MH1nonumb"/>
        <w:spacing w:after="0" w:line="240" w:lineRule="exact"/>
      </w:pPr>
      <w:r w:rsidRPr="00CE290E">
        <w:t xml:space="preserve">EXECUTIVE SUMMARY – INVESTORS’ CITIZENSHIP AND RESIDENCE SCHEMES IN </w:t>
      </w:r>
      <w:r>
        <w:t>MALTA</w:t>
      </w:r>
    </w:p>
    <w:p w14:paraId="59079B71" w14:textId="77777777" w:rsidR="005C2D40" w:rsidRDefault="005C2D40" w:rsidP="00B83867">
      <w:pPr>
        <w:pStyle w:val="MMultilevel"/>
        <w:numPr>
          <w:ilvl w:val="0"/>
          <w:numId w:val="0"/>
        </w:numPr>
        <w:spacing w:line="240" w:lineRule="exact"/>
        <w:rPr>
          <w:b/>
          <w:i/>
          <w:lang w:val="en-GB"/>
        </w:rPr>
      </w:pPr>
    </w:p>
    <w:p w14:paraId="509DFDE3" w14:textId="642ACD01" w:rsidR="008F7BBE" w:rsidRPr="008F7BBE" w:rsidRDefault="008F7BBE" w:rsidP="00B83867">
      <w:pPr>
        <w:pStyle w:val="MMultilevel"/>
        <w:numPr>
          <w:ilvl w:val="0"/>
          <w:numId w:val="0"/>
        </w:numPr>
        <w:spacing w:line="240" w:lineRule="exact"/>
        <w:rPr>
          <w:b/>
          <w:i/>
          <w:lang w:val="en-GB"/>
        </w:rPr>
      </w:pPr>
      <w:r w:rsidRPr="008F7BBE">
        <w:rPr>
          <w:b/>
          <w:i/>
          <w:lang w:val="en-GB"/>
        </w:rPr>
        <w:t>General background</w:t>
      </w:r>
    </w:p>
    <w:p w14:paraId="24D636C4" w14:textId="77777777" w:rsidR="008F7BBE" w:rsidRDefault="008F7BBE" w:rsidP="00B83867">
      <w:pPr>
        <w:pStyle w:val="MMultilevel"/>
        <w:numPr>
          <w:ilvl w:val="0"/>
          <w:numId w:val="0"/>
        </w:numPr>
        <w:spacing w:line="240" w:lineRule="exact"/>
        <w:rPr>
          <w:lang w:val="en-GB"/>
        </w:rPr>
      </w:pPr>
    </w:p>
    <w:p w14:paraId="1AC67FD6" w14:textId="56B6EAE2" w:rsidR="00C05B60" w:rsidRDefault="00C05B60" w:rsidP="00C05B60">
      <w:pPr>
        <w:pStyle w:val="MMultilevel"/>
        <w:numPr>
          <w:ilvl w:val="0"/>
          <w:numId w:val="0"/>
        </w:numPr>
        <w:spacing w:line="240" w:lineRule="exact"/>
        <w:rPr>
          <w:lang w:val="en-GB"/>
        </w:rPr>
      </w:pPr>
      <w:r>
        <w:rPr>
          <w:lang w:val="en-GB"/>
        </w:rPr>
        <w:t>Malta’s</w:t>
      </w:r>
      <w:r w:rsidRPr="0044090D">
        <w:rPr>
          <w:lang w:val="en-GB"/>
        </w:rPr>
        <w:t xml:space="preserve"> </w:t>
      </w:r>
      <w:r w:rsidRPr="00693AB7">
        <w:rPr>
          <w:b/>
          <w:lang w:val="en-GB"/>
        </w:rPr>
        <w:t>Individual Investor Programme (IIP)</w:t>
      </w:r>
      <w:r w:rsidR="00440E1A">
        <w:rPr>
          <w:lang w:val="en-GB"/>
        </w:rPr>
        <w:t xml:space="preserve"> </w:t>
      </w:r>
      <w:r>
        <w:rPr>
          <w:lang w:val="en-GB"/>
        </w:rPr>
        <w:t>provides for</w:t>
      </w:r>
      <w:r w:rsidRPr="00515074">
        <w:rPr>
          <w:lang w:val="en-GB"/>
        </w:rPr>
        <w:t xml:space="preserve"> </w:t>
      </w:r>
      <w:r w:rsidRPr="00FA5D0B">
        <w:rPr>
          <w:b/>
          <w:lang w:val="en-GB"/>
        </w:rPr>
        <w:t xml:space="preserve">granting of citizenship </w:t>
      </w:r>
      <w:r w:rsidRPr="00FA5D0B">
        <w:rPr>
          <w:lang w:val="en-GB"/>
        </w:rPr>
        <w:t>by a certificate of naturalisation</w:t>
      </w:r>
      <w:r w:rsidRPr="00515074">
        <w:rPr>
          <w:lang w:val="en-GB"/>
        </w:rPr>
        <w:t xml:space="preserve"> to foreign individuals who </w:t>
      </w:r>
      <w:r w:rsidR="00A2505B">
        <w:rPr>
          <w:lang w:val="en-GB"/>
        </w:rPr>
        <w:t>make a financial investment in Malta</w:t>
      </w:r>
      <w:r w:rsidRPr="00515074">
        <w:rPr>
          <w:lang w:val="en-GB"/>
        </w:rPr>
        <w:t>.</w:t>
      </w:r>
      <w:r>
        <w:rPr>
          <w:lang w:val="en-GB"/>
        </w:rPr>
        <w:t xml:space="preserve"> It was established </w:t>
      </w:r>
      <w:r w:rsidR="00440E1A">
        <w:rPr>
          <w:lang w:val="en-GB"/>
        </w:rPr>
        <w:t xml:space="preserve">in 2014 </w:t>
      </w:r>
      <w:r>
        <w:rPr>
          <w:lang w:val="en-GB"/>
        </w:rPr>
        <w:t>by the Individual Investor Programme of the Republic of Malta Regulations (LN 47/2014)</w:t>
      </w:r>
      <w:r>
        <w:rPr>
          <w:rStyle w:val="FootnoteReference"/>
          <w:lang w:val="en-GB"/>
        </w:rPr>
        <w:footnoteReference w:id="1"/>
      </w:r>
      <w:r w:rsidRPr="00515074">
        <w:rPr>
          <w:lang w:val="en-GB"/>
        </w:rPr>
        <w:t xml:space="preserve"> </w:t>
      </w:r>
      <w:r>
        <w:rPr>
          <w:lang w:val="en-GB"/>
        </w:rPr>
        <w:t xml:space="preserve">- subsidiary legislation issued under the </w:t>
      </w:r>
      <w:r w:rsidRPr="0044090D">
        <w:rPr>
          <w:lang w:val="en-GB"/>
        </w:rPr>
        <w:t>Maltese Citizenship Act</w:t>
      </w:r>
      <w:r>
        <w:rPr>
          <w:lang w:val="en-GB"/>
        </w:rPr>
        <w:t>.</w:t>
      </w:r>
      <w:r w:rsidRPr="0044090D">
        <w:rPr>
          <w:rStyle w:val="FootnoteReference"/>
          <w:lang w:val="en-GB"/>
        </w:rPr>
        <w:footnoteReference w:id="2"/>
      </w:r>
      <w:r>
        <w:rPr>
          <w:lang w:val="en-GB"/>
        </w:rPr>
        <w:t xml:space="preserve">  </w:t>
      </w:r>
    </w:p>
    <w:p w14:paraId="511720AD" w14:textId="77777777" w:rsidR="00E85FDD" w:rsidRDefault="00E85FDD" w:rsidP="00B83867">
      <w:pPr>
        <w:pStyle w:val="MMultilevel"/>
        <w:numPr>
          <w:ilvl w:val="0"/>
          <w:numId w:val="0"/>
        </w:numPr>
        <w:spacing w:line="240" w:lineRule="exact"/>
        <w:rPr>
          <w:lang w:val="en-GB"/>
        </w:rPr>
      </w:pPr>
    </w:p>
    <w:p w14:paraId="7D23A58F" w14:textId="2E964DA4" w:rsidR="00693AB7" w:rsidRDefault="00693AB7" w:rsidP="00B83867">
      <w:pPr>
        <w:pStyle w:val="MMultilevel"/>
        <w:numPr>
          <w:ilvl w:val="0"/>
          <w:numId w:val="0"/>
        </w:numPr>
        <w:spacing w:line="240" w:lineRule="exact"/>
        <w:rPr>
          <w:lang w:val="en-GB"/>
        </w:rPr>
      </w:pPr>
      <w:r>
        <w:rPr>
          <w:lang w:val="en-GB"/>
        </w:rPr>
        <w:t xml:space="preserve">The </w:t>
      </w:r>
      <w:r w:rsidRPr="00825CC1">
        <w:rPr>
          <w:b/>
          <w:lang w:val="en-GB"/>
        </w:rPr>
        <w:t>Malta Residence and Visa Programme (</w:t>
      </w:r>
      <w:r w:rsidRPr="00825CC1">
        <w:rPr>
          <w:b/>
        </w:rPr>
        <w:t>MRVP)</w:t>
      </w:r>
      <w:r>
        <w:rPr>
          <w:b/>
        </w:rPr>
        <w:t xml:space="preserve"> </w:t>
      </w:r>
      <w:r w:rsidR="00E85FDD">
        <w:rPr>
          <w:lang w:val="en-GB"/>
        </w:rPr>
        <w:t>provides for</w:t>
      </w:r>
      <w:r w:rsidR="00E85FDD">
        <w:t xml:space="preserve"> </w:t>
      </w:r>
      <w:r w:rsidR="00E85FDD">
        <w:rPr>
          <w:lang w:val="en-GB"/>
        </w:rPr>
        <w:t xml:space="preserve">the </w:t>
      </w:r>
      <w:r w:rsidR="00E85FDD" w:rsidRPr="00FA5D0B">
        <w:rPr>
          <w:b/>
          <w:lang w:val="en-GB"/>
        </w:rPr>
        <w:t>acquisition of Maltese residency</w:t>
      </w:r>
      <w:r w:rsidR="00E85FDD">
        <w:rPr>
          <w:lang w:val="en-GB"/>
        </w:rPr>
        <w:t xml:space="preserve"> by investment. </w:t>
      </w:r>
      <w:r w:rsidR="00B72CEE">
        <w:rPr>
          <w:lang w:val="en-GB"/>
        </w:rPr>
        <w:t xml:space="preserve">The </w:t>
      </w:r>
      <w:r w:rsidR="00E85FDD">
        <w:rPr>
          <w:lang w:val="en-GB"/>
        </w:rPr>
        <w:t xml:space="preserve">MRVP </w:t>
      </w:r>
      <w:r>
        <w:t xml:space="preserve">was established </w:t>
      </w:r>
      <w:r w:rsidR="001C1718">
        <w:t xml:space="preserve">in 2015 </w:t>
      </w:r>
      <w:r>
        <w:t xml:space="preserve">by </w:t>
      </w:r>
      <w:r w:rsidR="009679DA">
        <w:rPr>
          <w:lang w:val="en-GB"/>
        </w:rPr>
        <w:t>the Malta Residence and Visa Programme Regulations (LN 288/2015)</w:t>
      </w:r>
      <w:r w:rsidR="009679DA">
        <w:rPr>
          <w:rStyle w:val="FootnoteReference"/>
          <w:lang w:val="en-GB"/>
        </w:rPr>
        <w:footnoteReference w:id="3"/>
      </w:r>
      <w:r w:rsidR="009679DA">
        <w:rPr>
          <w:lang w:val="en-GB"/>
        </w:rPr>
        <w:t xml:space="preserve"> - </w:t>
      </w:r>
      <w:r>
        <w:t xml:space="preserve">subsidiary legislation issued under the </w:t>
      </w:r>
      <w:r>
        <w:rPr>
          <w:lang w:val="en-GB"/>
        </w:rPr>
        <w:t>Immigration Act</w:t>
      </w:r>
      <w:r w:rsidR="009679DA">
        <w:rPr>
          <w:lang w:val="en-GB"/>
        </w:rPr>
        <w:t>.</w:t>
      </w:r>
      <w:r>
        <w:rPr>
          <w:rStyle w:val="FootnoteReference"/>
          <w:lang w:val="en-GB"/>
        </w:rPr>
        <w:footnoteReference w:id="4"/>
      </w:r>
      <w:r>
        <w:rPr>
          <w:lang w:val="en-GB"/>
        </w:rPr>
        <w:t xml:space="preserve"> </w:t>
      </w:r>
    </w:p>
    <w:p w14:paraId="5B935F26" w14:textId="77777777" w:rsidR="00693AB7" w:rsidRDefault="00693AB7" w:rsidP="00B83867">
      <w:pPr>
        <w:pStyle w:val="MMultilevel"/>
        <w:numPr>
          <w:ilvl w:val="0"/>
          <w:numId w:val="0"/>
        </w:numPr>
        <w:spacing w:line="240" w:lineRule="exact"/>
        <w:rPr>
          <w:lang w:val="en-GB"/>
        </w:rPr>
      </w:pPr>
    </w:p>
    <w:p w14:paraId="3FB62CEA" w14:textId="6586171E" w:rsidR="00693AB7" w:rsidRPr="0044090D" w:rsidRDefault="00693AB7" w:rsidP="00B83867">
      <w:pPr>
        <w:pStyle w:val="MMultilevel"/>
        <w:numPr>
          <w:ilvl w:val="0"/>
          <w:numId w:val="0"/>
        </w:numPr>
        <w:spacing w:line="240" w:lineRule="exact"/>
        <w:rPr>
          <w:color w:val="000000" w:themeColor="text1"/>
          <w:lang w:val="en-GB"/>
        </w:rPr>
      </w:pPr>
      <w:r w:rsidRPr="0044090D">
        <w:rPr>
          <w:lang w:val="en-GB"/>
        </w:rPr>
        <w:t xml:space="preserve">The </w:t>
      </w:r>
      <w:r w:rsidRPr="00DE4E0A">
        <w:rPr>
          <w:b/>
          <w:lang w:val="en-GB"/>
        </w:rPr>
        <w:t xml:space="preserve">competent authority </w:t>
      </w:r>
      <w:r w:rsidR="003A70D3" w:rsidRPr="00DE4E0A">
        <w:rPr>
          <w:b/>
          <w:lang w:val="en-GB"/>
        </w:rPr>
        <w:t>under</w:t>
      </w:r>
      <w:r w:rsidR="001A1C12" w:rsidRPr="00DE4E0A">
        <w:rPr>
          <w:b/>
          <w:lang w:val="en-GB"/>
        </w:rPr>
        <w:t xml:space="preserve"> LN 47/2014 and </w:t>
      </w:r>
      <w:r w:rsidR="003A70D3" w:rsidRPr="00DE4E0A">
        <w:rPr>
          <w:b/>
          <w:lang w:val="en-GB"/>
        </w:rPr>
        <w:t>for</w:t>
      </w:r>
      <w:r w:rsidRPr="00DE4E0A">
        <w:rPr>
          <w:b/>
          <w:lang w:val="en-GB"/>
        </w:rPr>
        <w:t xml:space="preserve"> migration and residence permits</w:t>
      </w:r>
      <w:r w:rsidRPr="0044090D">
        <w:rPr>
          <w:lang w:val="en-GB"/>
        </w:rPr>
        <w:t xml:space="preserve"> is the Department of Citizenship and Expatriate Affairs within the </w:t>
      </w:r>
      <w:r w:rsidRPr="004247C2">
        <w:rPr>
          <w:b/>
          <w:lang w:val="en-GB"/>
        </w:rPr>
        <w:t>Identity Malta Agency</w:t>
      </w:r>
      <w:r w:rsidR="001A1C12">
        <w:rPr>
          <w:lang w:val="en-GB"/>
        </w:rPr>
        <w:t xml:space="preserve"> (Identity Malta).</w:t>
      </w:r>
      <w:r w:rsidR="001A1C12" w:rsidRPr="0044090D">
        <w:rPr>
          <w:rStyle w:val="FootnoteReference"/>
          <w:lang w:val="en-GB"/>
        </w:rPr>
        <w:footnoteReference w:id="5"/>
      </w:r>
      <w:r w:rsidR="001A1C12">
        <w:rPr>
          <w:lang w:val="en-GB"/>
        </w:rPr>
        <w:t xml:space="preserve"> On </w:t>
      </w:r>
      <w:r>
        <w:rPr>
          <w:color w:val="000000" w:themeColor="text1"/>
          <w:lang w:val="en-GB"/>
        </w:rPr>
        <w:t xml:space="preserve">29 March 2018, </w:t>
      </w:r>
      <w:r w:rsidR="00655D7F">
        <w:rPr>
          <w:color w:val="000000" w:themeColor="text1"/>
          <w:lang w:val="en-GB"/>
        </w:rPr>
        <w:t>the Maltese government</w:t>
      </w:r>
      <w:r>
        <w:rPr>
          <w:color w:val="000000" w:themeColor="text1"/>
          <w:lang w:val="en-GB"/>
        </w:rPr>
        <w:t xml:space="preserve"> </w:t>
      </w:r>
      <w:r w:rsidR="005C2D40">
        <w:rPr>
          <w:color w:val="000000" w:themeColor="text1"/>
          <w:lang w:val="en-GB"/>
        </w:rPr>
        <w:t>set</w:t>
      </w:r>
      <w:r>
        <w:rPr>
          <w:color w:val="000000" w:themeColor="text1"/>
          <w:lang w:val="en-GB"/>
        </w:rPr>
        <w:t xml:space="preserve"> up the </w:t>
      </w:r>
      <w:r w:rsidRPr="005C2D40">
        <w:rPr>
          <w:b/>
          <w:color w:val="000000" w:themeColor="text1"/>
          <w:lang w:val="en-GB"/>
        </w:rPr>
        <w:t xml:space="preserve">Malta Individual Investor Programme Agency </w:t>
      </w:r>
      <w:r w:rsidRPr="005C2D40">
        <w:rPr>
          <w:color w:val="000000" w:themeColor="text1"/>
          <w:lang w:val="en-GB"/>
        </w:rPr>
        <w:t>(IIP Agency)</w:t>
      </w:r>
      <w:r w:rsidRPr="005C2D40">
        <w:rPr>
          <w:b/>
          <w:color w:val="000000" w:themeColor="text1"/>
          <w:lang w:val="en-GB"/>
        </w:rPr>
        <w:t xml:space="preserve"> </w:t>
      </w:r>
      <w:r>
        <w:rPr>
          <w:color w:val="000000" w:themeColor="text1"/>
          <w:lang w:val="en-GB"/>
        </w:rPr>
        <w:t>to administer the IIP and cooperate with Identity Malta.</w:t>
      </w:r>
      <w:r w:rsidR="00E85FDD">
        <w:rPr>
          <w:rStyle w:val="FootnoteReference"/>
          <w:color w:val="000000" w:themeColor="text1"/>
          <w:lang w:val="en-GB"/>
        </w:rPr>
        <w:footnoteReference w:id="6"/>
      </w:r>
      <w:r>
        <w:rPr>
          <w:color w:val="000000" w:themeColor="text1"/>
          <w:lang w:val="en-GB"/>
        </w:rPr>
        <w:t xml:space="preserve"> </w:t>
      </w:r>
      <w:r w:rsidRPr="00042B19">
        <w:rPr>
          <w:color w:val="000000" w:themeColor="text1"/>
          <w:lang w:val="en-GB"/>
        </w:rPr>
        <w:t xml:space="preserve">LN 47/2014 </w:t>
      </w:r>
      <w:r w:rsidR="00655D7F">
        <w:rPr>
          <w:color w:val="000000" w:themeColor="text1"/>
          <w:lang w:val="en-GB"/>
        </w:rPr>
        <w:t>still refers</w:t>
      </w:r>
      <w:r>
        <w:rPr>
          <w:color w:val="000000" w:themeColor="text1"/>
          <w:lang w:val="en-GB"/>
        </w:rPr>
        <w:t xml:space="preserve"> </w:t>
      </w:r>
      <w:r w:rsidRPr="00C46E63">
        <w:rPr>
          <w:color w:val="000000" w:themeColor="text1"/>
          <w:lang w:val="en-GB"/>
        </w:rPr>
        <w:t xml:space="preserve">to Identity Malta as the main competent authority. </w:t>
      </w:r>
    </w:p>
    <w:p w14:paraId="4AE5ED5E" w14:textId="77777777" w:rsidR="00693AB7" w:rsidRDefault="00693AB7" w:rsidP="00B83867">
      <w:pPr>
        <w:pStyle w:val="MMultilevel"/>
        <w:numPr>
          <w:ilvl w:val="0"/>
          <w:numId w:val="0"/>
        </w:numPr>
        <w:spacing w:line="240" w:lineRule="exact"/>
        <w:rPr>
          <w:color w:val="000000" w:themeColor="text1"/>
          <w:lang w:val="en-GB"/>
        </w:rPr>
      </w:pPr>
    </w:p>
    <w:p w14:paraId="71CFF940" w14:textId="107F7305" w:rsidR="00693AB7" w:rsidRDefault="00693AB7" w:rsidP="00B83867">
      <w:pPr>
        <w:pStyle w:val="MMultilevel"/>
        <w:numPr>
          <w:ilvl w:val="0"/>
          <w:numId w:val="0"/>
        </w:numPr>
        <w:spacing w:line="240" w:lineRule="exact"/>
        <w:rPr>
          <w:color w:val="000000" w:themeColor="text1"/>
          <w:lang w:val="en-GB"/>
        </w:rPr>
      </w:pPr>
      <w:r>
        <w:rPr>
          <w:lang w:val="en-GB"/>
        </w:rPr>
        <w:t xml:space="preserve">The </w:t>
      </w:r>
      <w:r w:rsidRPr="00DE4E0A">
        <w:rPr>
          <w:b/>
          <w:lang w:val="en-GB"/>
        </w:rPr>
        <w:t>competent authority for the MRVP is the</w:t>
      </w:r>
      <w:r>
        <w:rPr>
          <w:lang w:val="en-GB"/>
        </w:rPr>
        <w:t xml:space="preserve"> </w:t>
      </w:r>
      <w:r w:rsidRPr="004247C2">
        <w:rPr>
          <w:b/>
          <w:lang w:val="en-GB"/>
        </w:rPr>
        <w:t>Malta Residence and Visa Agency</w:t>
      </w:r>
      <w:r w:rsidR="001A1C12">
        <w:rPr>
          <w:lang w:val="en-GB"/>
        </w:rPr>
        <w:t xml:space="preserve"> (MRVA</w:t>
      </w:r>
      <w:r w:rsidR="00671591">
        <w:rPr>
          <w:lang w:val="en-GB"/>
        </w:rPr>
        <w:t xml:space="preserve">) </w:t>
      </w:r>
      <w:r w:rsidR="00FB1DAE">
        <w:rPr>
          <w:lang w:val="en-GB"/>
        </w:rPr>
        <w:t>established in 2017</w:t>
      </w:r>
      <w:r w:rsidR="001A1C12">
        <w:rPr>
          <w:lang w:val="en-GB"/>
        </w:rPr>
        <w:t>.</w:t>
      </w:r>
      <w:r w:rsidR="001A1C12">
        <w:rPr>
          <w:rStyle w:val="FootnoteReference"/>
          <w:lang w:val="en-GB"/>
        </w:rPr>
        <w:footnoteReference w:id="7"/>
      </w:r>
      <w:r w:rsidR="001A1C12">
        <w:rPr>
          <w:lang w:val="en-GB"/>
        </w:rPr>
        <w:t xml:space="preserve"> </w:t>
      </w:r>
      <w:r w:rsidR="00D01EF8">
        <w:rPr>
          <w:lang w:val="en-GB"/>
        </w:rPr>
        <w:t xml:space="preserve">In practice, the MRVA is responsible for all </w:t>
      </w:r>
      <w:r w:rsidR="00DE4E0A">
        <w:rPr>
          <w:lang w:val="en-GB"/>
        </w:rPr>
        <w:t>MRVP matters except for</w:t>
      </w:r>
      <w:r w:rsidR="00D01EF8">
        <w:rPr>
          <w:lang w:val="en-GB"/>
        </w:rPr>
        <w:t xml:space="preserve"> the </w:t>
      </w:r>
      <w:r w:rsidR="00D01EF8" w:rsidRPr="00DE4E0A">
        <w:rPr>
          <w:b/>
          <w:lang w:val="en-GB"/>
        </w:rPr>
        <w:t>issuance of the residence permit that falls within Identity Malta’s competences</w:t>
      </w:r>
      <w:r w:rsidR="00D01EF8">
        <w:rPr>
          <w:lang w:val="en-GB"/>
        </w:rPr>
        <w:t>.</w:t>
      </w:r>
    </w:p>
    <w:p w14:paraId="5299FEBD" w14:textId="77777777" w:rsidR="004247C2" w:rsidRDefault="004247C2" w:rsidP="00B83867">
      <w:pPr>
        <w:pStyle w:val="MMultilevel"/>
        <w:numPr>
          <w:ilvl w:val="0"/>
          <w:numId w:val="0"/>
        </w:numPr>
        <w:spacing w:line="240" w:lineRule="exact"/>
        <w:rPr>
          <w:color w:val="000000" w:themeColor="text1"/>
          <w:lang w:val="en-GB"/>
        </w:rPr>
      </w:pPr>
    </w:p>
    <w:p w14:paraId="78CE877A" w14:textId="6500CB1E" w:rsidR="00693AB7" w:rsidRDefault="00693AB7" w:rsidP="00B83867">
      <w:pPr>
        <w:pStyle w:val="MMultilevel"/>
        <w:numPr>
          <w:ilvl w:val="0"/>
          <w:numId w:val="0"/>
        </w:numPr>
        <w:spacing w:line="240" w:lineRule="exact"/>
        <w:rPr>
          <w:color w:val="000000" w:themeColor="text1"/>
          <w:lang w:val="en-GB"/>
        </w:rPr>
      </w:pPr>
      <w:r>
        <w:rPr>
          <w:color w:val="000000" w:themeColor="text1"/>
          <w:lang w:val="en-GB"/>
        </w:rPr>
        <w:t xml:space="preserve">The </w:t>
      </w:r>
      <w:r w:rsidRPr="004247C2">
        <w:rPr>
          <w:b/>
          <w:color w:val="000000" w:themeColor="text1"/>
          <w:lang w:val="en-GB"/>
        </w:rPr>
        <w:t>Minister responsible for identity management</w:t>
      </w:r>
      <w:r>
        <w:rPr>
          <w:color w:val="000000" w:themeColor="text1"/>
          <w:lang w:val="en-GB"/>
        </w:rPr>
        <w:t xml:space="preserve"> is responsible for Identity Malta</w:t>
      </w:r>
      <w:r w:rsidR="00655D7F">
        <w:rPr>
          <w:color w:val="000000" w:themeColor="text1"/>
          <w:lang w:val="en-GB"/>
        </w:rPr>
        <w:t>, t</w:t>
      </w:r>
      <w:r>
        <w:rPr>
          <w:color w:val="000000" w:themeColor="text1"/>
          <w:lang w:val="en-GB"/>
        </w:rPr>
        <w:t>he MRVA and the IIP Agency</w:t>
      </w:r>
      <w:r w:rsidR="00C4061F">
        <w:rPr>
          <w:color w:val="000000" w:themeColor="text1"/>
          <w:lang w:val="en-GB"/>
        </w:rPr>
        <w:t xml:space="preserve">. This Minister </w:t>
      </w:r>
      <w:r w:rsidR="00276A6F">
        <w:rPr>
          <w:color w:val="000000" w:themeColor="text1"/>
          <w:lang w:val="en-GB"/>
        </w:rPr>
        <w:t xml:space="preserve">must act </w:t>
      </w:r>
      <w:r w:rsidR="00276A6F" w:rsidRPr="0044090D">
        <w:rPr>
          <w:color w:val="000000" w:themeColor="text1"/>
          <w:lang w:val="en-GB"/>
        </w:rPr>
        <w:t>with the concurrence of the Minister for finance</w:t>
      </w:r>
      <w:r w:rsidRPr="0044090D">
        <w:rPr>
          <w:color w:val="000000" w:themeColor="text1"/>
          <w:lang w:val="en-GB"/>
        </w:rPr>
        <w:t xml:space="preserve"> </w:t>
      </w:r>
      <w:r w:rsidR="00276A6F">
        <w:rPr>
          <w:color w:val="000000" w:themeColor="text1"/>
          <w:lang w:val="en-GB"/>
        </w:rPr>
        <w:t xml:space="preserve">in matters involving </w:t>
      </w:r>
      <w:r w:rsidRPr="0044090D">
        <w:rPr>
          <w:color w:val="000000" w:themeColor="text1"/>
          <w:lang w:val="en-GB"/>
        </w:rPr>
        <w:t>administration or investment of funds</w:t>
      </w:r>
      <w:r w:rsidR="00276A6F">
        <w:rPr>
          <w:color w:val="000000" w:themeColor="text1"/>
          <w:lang w:val="en-GB"/>
        </w:rPr>
        <w:t>.</w:t>
      </w:r>
    </w:p>
    <w:p w14:paraId="263045F6" w14:textId="77777777" w:rsidR="00276A6F" w:rsidRDefault="00276A6F" w:rsidP="00B83867">
      <w:pPr>
        <w:pStyle w:val="MMultilevel"/>
        <w:numPr>
          <w:ilvl w:val="0"/>
          <w:numId w:val="0"/>
        </w:numPr>
        <w:spacing w:line="240" w:lineRule="exact"/>
        <w:rPr>
          <w:color w:val="000000" w:themeColor="text1"/>
          <w:lang w:val="en-GB"/>
        </w:rPr>
      </w:pPr>
    </w:p>
    <w:p w14:paraId="2CC1894A" w14:textId="62D39A4A" w:rsidR="00A80C45" w:rsidRDefault="00693AB7" w:rsidP="00B83867">
      <w:pPr>
        <w:pStyle w:val="MBT"/>
        <w:spacing w:line="240" w:lineRule="exact"/>
        <w:rPr>
          <w:lang w:val="en-GB"/>
        </w:rPr>
      </w:pPr>
      <w:r>
        <w:rPr>
          <w:color w:val="000000" w:themeColor="text1"/>
          <w:lang w:val="en-GB"/>
        </w:rPr>
        <w:t xml:space="preserve">In addition to the competent authorities, </w:t>
      </w:r>
      <w:r w:rsidRPr="004247C2">
        <w:rPr>
          <w:b/>
          <w:color w:val="000000" w:themeColor="text1"/>
          <w:lang w:val="en-GB"/>
        </w:rPr>
        <w:t>non-public bodies</w:t>
      </w:r>
      <w:r w:rsidR="00655D7F">
        <w:rPr>
          <w:color w:val="000000" w:themeColor="text1"/>
          <w:lang w:val="en-GB"/>
        </w:rPr>
        <w:t xml:space="preserve"> - </w:t>
      </w:r>
      <w:r w:rsidR="001A1C12" w:rsidRPr="00DE4E0A">
        <w:rPr>
          <w:b/>
          <w:color w:val="000000" w:themeColor="text1"/>
          <w:lang w:val="en-GB"/>
        </w:rPr>
        <w:t>agents licensed by Identity Malta</w:t>
      </w:r>
      <w:r w:rsidR="00655D7F">
        <w:rPr>
          <w:color w:val="000000" w:themeColor="text1"/>
          <w:lang w:val="en-GB"/>
        </w:rPr>
        <w:t xml:space="preserve"> - act on behalf of </w:t>
      </w:r>
      <w:r>
        <w:rPr>
          <w:color w:val="000000" w:themeColor="text1"/>
          <w:lang w:val="en-GB"/>
        </w:rPr>
        <w:t>applicants</w:t>
      </w:r>
      <w:r w:rsidR="009D35DC">
        <w:rPr>
          <w:color w:val="000000" w:themeColor="text1"/>
          <w:lang w:val="en-GB"/>
        </w:rPr>
        <w:t xml:space="preserve"> </w:t>
      </w:r>
      <w:r w:rsidR="00276A6F">
        <w:rPr>
          <w:color w:val="000000" w:themeColor="text1"/>
          <w:lang w:val="en-GB"/>
        </w:rPr>
        <w:t>throughout the process</w:t>
      </w:r>
      <w:r w:rsidR="00DE4E0A">
        <w:rPr>
          <w:lang w:val="en-GB"/>
        </w:rPr>
        <w:t xml:space="preserve"> and </w:t>
      </w:r>
      <w:r w:rsidR="00DE4E0A" w:rsidRPr="00DE4E0A">
        <w:rPr>
          <w:b/>
          <w:lang w:val="en-GB"/>
        </w:rPr>
        <w:t>interact directly for the applicant with the competent authorities</w:t>
      </w:r>
      <w:r w:rsidR="00DE4E0A">
        <w:rPr>
          <w:lang w:val="en-GB"/>
        </w:rPr>
        <w:t>.</w:t>
      </w:r>
      <w:r w:rsidR="00A80C45">
        <w:rPr>
          <w:lang w:val="en-GB"/>
        </w:rPr>
        <w:t xml:space="preserve"> </w:t>
      </w:r>
      <w:r w:rsidR="00F0615C">
        <w:rPr>
          <w:lang w:val="en-GB"/>
        </w:rPr>
        <w:t>The</w:t>
      </w:r>
      <w:r w:rsidR="00D076C3" w:rsidRPr="00D1312C">
        <w:rPr>
          <w:b/>
          <w:lang w:val="en-GB"/>
        </w:rPr>
        <w:t xml:space="preserve"> same</w:t>
      </w:r>
      <w:r w:rsidR="00D076C3">
        <w:rPr>
          <w:lang w:val="en-GB"/>
        </w:rPr>
        <w:t xml:space="preserve"> </w:t>
      </w:r>
      <w:r w:rsidR="007F0A4C" w:rsidRPr="007F0A4C">
        <w:rPr>
          <w:b/>
          <w:lang w:val="en-GB"/>
        </w:rPr>
        <w:t xml:space="preserve">agents can act for the purposes of </w:t>
      </w:r>
      <w:r w:rsidR="00F0615C">
        <w:rPr>
          <w:b/>
          <w:lang w:val="en-GB"/>
        </w:rPr>
        <w:t>the IIP and MRVP</w:t>
      </w:r>
      <w:r w:rsidR="007F0A4C" w:rsidRPr="00A35294">
        <w:rPr>
          <w:lang w:val="en-GB"/>
        </w:rPr>
        <w:t xml:space="preserve">. </w:t>
      </w:r>
      <w:r w:rsidR="00A80C45">
        <w:rPr>
          <w:lang w:val="en-GB"/>
        </w:rPr>
        <w:t xml:space="preserve">LN 47/2014 </w:t>
      </w:r>
      <w:r w:rsidR="001C1718">
        <w:rPr>
          <w:lang w:val="en-GB"/>
        </w:rPr>
        <w:t xml:space="preserve">also </w:t>
      </w:r>
      <w:r w:rsidR="00A80C45">
        <w:rPr>
          <w:lang w:val="en-GB"/>
        </w:rPr>
        <w:t xml:space="preserve">provides for the </w:t>
      </w:r>
      <w:r w:rsidR="00863CD0">
        <w:rPr>
          <w:lang w:val="en-GB"/>
        </w:rPr>
        <w:t xml:space="preserve">design, promotion and </w:t>
      </w:r>
      <w:r w:rsidR="00A80C45">
        <w:rPr>
          <w:lang w:val="en-GB"/>
        </w:rPr>
        <w:t>operation of the IIP by a concessionaire</w:t>
      </w:r>
      <w:r w:rsidR="007A7997">
        <w:rPr>
          <w:lang w:val="en-GB"/>
        </w:rPr>
        <w:t xml:space="preserve"> - </w:t>
      </w:r>
      <w:r w:rsidR="00A80C45">
        <w:rPr>
          <w:lang w:val="en-GB"/>
        </w:rPr>
        <w:t>Henley &amp; Partners</w:t>
      </w:r>
      <w:r w:rsidR="00FE0007">
        <w:rPr>
          <w:lang w:val="en-GB"/>
        </w:rPr>
        <w:t xml:space="preserve">. This role has </w:t>
      </w:r>
      <w:r w:rsidR="007A7997">
        <w:rPr>
          <w:lang w:val="en-GB"/>
        </w:rPr>
        <w:t>changed</w:t>
      </w:r>
      <w:r w:rsidR="00A80C45">
        <w:rPr>
          <w:lang w:val="en-GB"/>
        </w:rPr>
        <w:t xml:space="preserve"> over time and </w:t>
      </w:r>
      <w:r w:rsidR="007A7997">
        <w:t>currently</w:t>
      </w:r>
      <w:r w:rsidR="00A80C45">
        <w:t xml:space="preserve">, Henley &amp; Partners’ involvement </w:t>
      </w:r>
      <w:r w:rsidR="00A80C45" w:rsidRPr="00DA4F51">
        <w:t xml:space="preserve">is mostly tied to </w:t>
      </w:r>
      <w:r w:rsidR="00A80C45">
        <w:t>promoting</w:t>
      </w:r>
      <w:r w:rsidR="00A80C45" w:rsidRPr="00DA4F51">
        <w:t xml:space="preserve"> the </w:t>
      </w:r>
      <w:r w:rsidR="00A80C45">
        <w:t>IIP</w:t>
      </w:r>
      <w:r w:rsidR="000A7EFA">
        <w:t>,</w:t>
      </w:r>
      <w:r w:rsidR="00655D7F">
        <w:t xml:space="preserve"> </w:t>
      </w:r>
      <w:proofErr w:type="spellStart"/>
      <w:r w:rsidR="00655D7F">
        <w:t>organising</w:t>
      </w:r>
      <w:proofErr w:type="spellEnd"/>
      <w:r w:rsidR="00655D7F">
        <w:t xml:space="preserve"> events</w:t>
      </w:r>
      <w:r w:rsidR="00A80C45" w:rsidRPr="00DA4F51">
        <w:t xml:space="preserve"> on Malta</w:t>
      </w:r>
      <w:r w:rsidR="000A7EFA">
        <w:t xml:space="preserve"> and advising</w:t>
      </w:r>
      <w:r w:rsidR="00A80C45">
        <w:t xml:space="preserve"> Identity Malta</w:t>
      </w:r>
      <w:r w:rsidR="00A80C45" w:rsidRPr="00DA4F51">
        <w:t xml:space="preserve"> </w:t>
      </w:r>
      <w:r w:rsidR="000A7EFA">
        <w:t>on legal or technical aspects</w:t>
      </w:r>
      <w:r w:rsidR="000A7EFA" w:rsidRPr="00DA4F51">
        <w:t xml:space="preserve"> </w:t>
      </w:r>
      <w:r w:rsidR="000A7EFA">
        <w:t xml:space="preserve">as needed. </w:t>
      </w:r>
      <w:r w:rsidR="00FE0007">
        <w:t>In addition, it</w:t>
      </w:r>
      <w:r w:rsidR="00A80C45">
        <w:t xml:space="preserve"> present</w:t>
      </w:r>
      <w:r w:rsidR="00FE0007">
        <w:t>s</w:t>
      </w:r>
      <w:r w:rsidR="00A80C45">
        <w:t xml:space="preserve"> </w:t>
      </w:r>
      <w:r w:rsidR="00A80C45" w:rsidRPr="00DA4F51">
        <w:t xml:space="preserve">applications on behalf of </w:t>
      </w:r>
      <w:r w:rsidR="00A80C45">
        <w:t xml:space="preserve">its </w:t>
      </w:r>
      <w:r w:rsidR="00A80C45" w:rsidRPr="00DA4F51">
        <w:t>clients</w:t>
      </w:r>
      <w:r w:rsidR="000A7EFA">
        <w:t>, as any other agent</w:t>
      </w:r>
      <w:r w:rsidR="00A80C45" w:rsidRPr="00DA4F51">
        <w:t>.</w:t>
      </w:r>
      <w:r w:rsidR="00A80C45">
        <w:rPr>
          <w:rStyle w:val="FootnoteReference"/>
        </w:rPr>
        <w:footnoteReference w:id="8"/>
      </w:r>
      <w:r w:rsidR="00A80C45" w:rsidRPr="003A79A0">
        <w:rPr>
          <w:lang w:val="en-GB"/>
        </w:rPr>
        <w:t xml:space="preserve"> </w:t>
      </w:r>
      <w:r w:rsidR="00A80C45">
        <w:rPr>
          <w:lang w:val="en-GB"/>
        </w:rPr>
        <w:t xml:space="preserve">The </w:t>
      </w:r>
      <w:r w:rsidR="00F2241B">
        <w:rPr>
          <w:lang w:val="en-GB"/>
        </w:rPr>
        <w:t xml:space="preserve">Maltese </w:t>
      </w:r>
      <w:r w:rsidR="00A80C45">
        <w:rPr>
          <w:lang w:val="en-GB"/>
        </w:rPr>
        <w:t xml:space="preserve">legislation </w:t>
      </w:r>
      <w:r w:rsidR="00F2241B">
        <w:rPr>
          <w:lang w:val="en-GB"/>
        </w:rPr>
        <w:t xml:space="preserve">does </w:t>
      </w:r>
      <w:r w:rsidR="00A80C45">
        <w:rPr>
          <w:lang w:val="en-GB"/>
        </w:rPr>
        <w:t xml:space="preserve">not reflect this </w:t>
      </w:r>
      <w:r w:rsidR="00FE0007">
        <w:rPr>
          <w:lang w:val="en-GB"/>
        </w:rPr>
        <w:t>change in its role</w:t>
      </w:r>
      <w:r w:rsidR="00A80C45">
        <w:rPr>
          <w:lang w:val="en-GB"/>
        </w:rPr>
        <w:t xml:space="preserve">.  </w:t>
      </w:r>
    </w:p>
    <w:p w14:paraId="76A6F09D" w14:textId="4EFF06C7" w:rsidR="00693AB7" w:rsidRPr="00693AB7" w:rsidRDefault="00693AB7" w:rsidP="00B83867">
      <w:pPr>
        <w:pStyle w:val="MMultilevel"/>
        <w:numPr>
          <w:ilvl w:val="0"/>
          <w:numId w:val="0"/>
        </w:numPr>
        <w:spacing w:line="240" w:lineRule="exact"/>
        <w:rPr>
          <w:lang w:val="en-GB"/>
        </w:rPr>
      </w:pPr>
    </w:p>
    <w:p w14:paraId="7D69AC4B" w14:textId="77777777" w:rsidR="00693AB7" w:rsidRPr="00693AB7" w:rsidRDefault="00693AB7" w:rsidP="00B83867">
      <w:pPr>
        <w:spacing w:line="240" w:lineRule="exact"/>
        <w:jc w:val="both"/>
        <w:outlineLvl w:val="0"/>
        <w:rPr>
          <w:rFonts w:ascii="Times New Roman" w:hAnsi="Times New Roman" w:cs="Times New Roman"/>
          <w:b/>
          <w:i/>
          <w:color w:val="000000" w:themeColor="text1"/>
          <w:sz w:val="22"/>
          <w:szCs w:val="22"/>
        </w:rPr>
      </w:pPr>
      <w:r w:rsidRPr="00693AB7">
        <w:rPr>
          <w:rFonts w:ascii="Times New Roman" w:hAnsi="Times New Roman" w:cs="Times New Roman"/>
          <w:b/>
          <w:i/>
          <w:color w:val="000000" w:themeColor="text1"/>
          <w:sz w:val="22"/>
          <w:szCs w:val="22"/>
        </w:rPr>
        <w:t>Investors’ Citizenship Schemes</w:t>
      </w:r>
    </w:p>
    <w:p w14:paraId="5A03C3CA" w14:textId="77777777" w:rsidR="004247C2" w:rsidRDefault="004247C2" w:rsidP="00B83867">
      <w:pPr>
        <w:widowControl w:val="0"/>
        <w:spacing w:line="240" w:lineRule="exact"/>
        <w:jc w:val="both"/>
        <w:rPr>
          <w:rFonts w:eastAsia="Times New Roman"/>
          <w:bCs/>
          <w:i/>
          <w:color w:val="FF0000"/>
          <w:sz w:val="22"/>
          <w:szCs w:val="22"/>
          <w:lang w:eastAsia="fr-FR"/>
        </w:rPr>
      </w:pPr>
    </w:p>
    <w:p w14:paraId="5D7AF0AD" w14:textId="267BB426" w:rsidR="004247C2" w:rsidRPr="009D35DC" w:rsidRDefault="004247C2" w:rsidP="00B83867">
      <w:pPr>
        <w:pStyle w:val="MBT"/>
        <w:spacing w:line="240" w:lineRule="exact"/>
        <w:rPr>
          <w:lang w:val="en-GB"/>
        </w:rPr>
      </w:pPr>
      <w:r w:rsidRPr="00E66362">
        <w:rPr>
          <w:b/>
        </w:rPr>
        <w:t>Third-country nationals meeting the</w:t>
      </w:r>
      <w:r w:rsidR="009D35DC" w:rsidRPr="00E66362">
        <w:rPr>
          <w:b/>
        </w:rPr>
        <w:t xml:space="preserve"> </w:t>
      </w:r>
      <w:r w:rsidR="001E1E54">
        <w:rPr>
          <w:b/>
        </w:rPr>
        <w:t xml:space="preserve">formal and substantial </w:t>
      </w:r>
      <w:r w:rsidRPr="00E66362">
        <w:rPr>
          <w:b/>
          <w:bCs w:val="0"/>
        </w:rPr>
        <w:t xml:space="preserve">eligibility </w:t>
      </w:r>
      <w:r w:rsidRPr="00E66362">
        <w:rPr>
          <w:b/>
        </w:rPr>
        <w:t>requirements</w:t>
      </w:r>
      <w:r w:rsidR="001E1E54">
        <w:rPr>
          <w:b/>
        </w:rPr>
        <w:t xml:space="preserve"> under </w:t>
      </w:r>
      <w:r w:rsidR="001E1E54" w:rsidRPr="00E66362">
        <w:rPr>
          <w:b/>
        </w:rPr>
        <w:t xml:space="preserve">LN </w:t>
      </w:r>
      <w:r w:rsidR="001E1E54" w:rsidRPr="00E66362">
        <w:rPr>
          <w:b/>
        </w:rPr>
        <w:lastRenderedPageBreak/>
        <w:t xml:space="preserve">47/2014 </w:t>
      </w:r>
      <w:r w:rsidRPr="00E66362">
        <w:rPr>
          <w:b/>
        </w:rPr>
        <w:t>can apply for the IIP</w:t>
      </w:r>
      <w:r>
        <w:t xml:space="preserve">. </w:t>
      </w:r>
      <w:r w:rsidR="001C1718" w:rsidRPr="00D1312C">
        <w:rPr>
          <w:b/>
          <w:lang w:val="en-GB"/>
        </w:rPr>
        <w:t>Main</w:t>
      </w:r>
      <w:r w:rsidRPr="0044090D">
        <w:rPr>
          <w:b/>
          <w:lang w:val="en-GB"/>
        </w:rPr>
        <w:t xml:space="preserve"> applicant</w:t>
      </w:r>
      <w:r w:rsidR="001C1718">
        <w:rPr>
          <w:b/>
          <w:lang w:val="en-GB"/>
        </w:rPr>
        <w:t>s</w:t>
      </w:r>
      <w:r>
        <w:rPr>
          <w:lang w:val="en-GB"/>
        </w:rPr>
        <w:t xml:space="preserve"> must b</w:t>
      </w:r>
      <w:r w:rsidRPr="0044090D">
        <w:rPr>
          <w:lang w:val="en-GB"/>
        </w:rPr>
        <w:t>e at least 18 years of age</w:t>
      </w:r>
      <w:r w:rsidR="001C1718">
        <w:rPr>
          <w:lang w:val="en-GB"/>
        </w:rPr>
        <w:t xml:space="preserve"> and</w:t>
      </w:r>
      <w:r>
        <w:rPr>
          <w:lang w:val="en-GB"/>
        </w:rPr>
        <w:t xml:space="preserve"> </w:t>
      </w:r>
      <w:r w:rsidR="001C1718">
        <w:rPr>
          <w:lang w:val="en-GB"/>
        </w:rPr>
        <w:t>commit</w:t>
      </w:r>
      <w:r w:rsidR="001C1718" w:rsidRPr="0044090D">
        <w:rPr>
          <w:lang w:val="en-GB"/>
        </w:rPr>
        <w:t xml:space="preserve"> </w:t>
      </w:r>
      <w:r w:rsidRPr="0044090D">
        <w:rPr>
          <w:lang w:val="en-GB"/>
        </w:rPr>
        <w:t>to</w:t>
      </w:r>
      <w:r w:rsidR="001C1718">
        <w:rPr>
          <w:lang w:val="en-GB"/>
        </w:rPr>
        <w:t>:</w:t>
      </w:r>
      <w:r w:rsidRPr="0044090D">
        <w:rPr>
          <w:lang w:val="en-GB"/>
        </w:rPr>
        <w:t xml:space="preserve"> make a contribution</w:t>
      </w:r>
      <w:r>
        <w:rPr>
          <w:lang w:val="en-GB"/>
        </w:rPr>
        <w:t xml:space="preserve">; </w:t>
      </w:r>
      <w:r w:rsidRPr="0044090D">
        <w:rPr>
          <w:lang w:val="en-GB"/>
        </w:rPr>
        <w:t>provide proof of residence</w:t>
      </w:r>
      <w:r w:rsidR="005D3D61">
        <w:rPr>
          <w:lang w:val="en-GB"/>
        </w:rPr>
        <w:t xml:space="preserve"> and of title to residential property</w:t>
      </w:r>
      <w:r w:rsidRPr="0044090D">
        <w:rPr>
          <w:lang w:val="en-GB"/>
        </w:rPr>
        <w:t xml:space="preserve"> in Malta;</w:t>
      </w:r>
      <w:r>
        <w:rPr>
          <w:lang w:val="en-GB"/>
        </w:rPr>
        <w:t xml:space="preserve"> </w:t>
      </w:r>
      <w:r w:rsidRPr="0044090D">
        <w:rPr>
          <w:lang w:val="en-GB"/>
        </w:rPr>
        <w:t>invest</w:t>
      </w:r>
      <w:r>
        <w:rPr>
          <w:lang w:val="en-GB"/>
        </w:rPr>
        <w:t xml:space="preserve"> in stocks, bonds, debentures or</w:t>
      </w:r>
      <w:r w:rsidRPr="0044090D">
        <w:rPr>
          <w:lang w:val="en-GB"/>
        </w:rPr>
        <w:t xml:space="preserve"> special purpose vehicles</w:t>
      </w:r>
      <w:r>
        <w:rPr>
          <w:lang w:val="en-GB"/>
        </w:rPr>
        <w:t>.</w:t>
      </w:r>
      <w:r w:rsidRPr="0044090D">
        <w:rPr>
          <w:rStyle w:val="FootnoteReference"/>
          <w:lang w:val="en-GB"/>
        </w:rPr>
        <w:footnoteReference w:id="9"/>
      </w:r>
      <w:r>
        <w:rPr>
          <w:lang w:val="en-GB"/>
        </w:rPr>
        <w:t xml:space="preserve"> A</w:t>
      </w:r>
      <w:r>
        <w:t xml:space="preserve"> broad range of</w:t>
      </w:r>
      <w:r w:rsidR="009D35DC">
        <w:t xml:space="preserve"> family members </w:t>
      </w:r>
      <w:r w:rsidR="005D3D61">
        <w:t>-</w:t>
      </w:r>
      <w:r w:rsidR="009D35DC">
        <w:t xml:space="preserve"> </w:t>
      </w:r>
      <w:proofErr w:type="spellStart"/>
      <w:r w:rsidRPr="00D31FC0">
        <w:rPr>
          <w:b/>
        </w:rPr>
        <w:t>dependants</w:t>
      </w:r>
      <w:proofErr w:type="spellEnd"/>
      <w:r>
        <w:t xml:space="preserve"> </w:t>
      </w:r>
      <w:r w:rsidR="005D3D61">
        <w:t xml:space="preserve">- </w:t>
      </w:r>
      <w:r>
        <w:t>can be included in the application</w:t>
      </w:r>
      <w:r w:rsidR="001E1E54">
        <w:t xml:space="preserve">, provided </w:t>
      </w:r>
      <w:r w:rsidR="00655D7F">
        <w:t>t</w:t>
      </w:r>
      <w:r w:rsidR="001E1E54">
        <w:t xml:space="preserve">hey meet the eligibility criteria under LN 47/2014. </w:t>
      </w:r>
      <w:proofErr w:type="spellStart"/>
      <w:r w:rsidR="0027324A">
        <w:t>Dependants</w:t>
      </w:r>
      <w:proofErr w:type="spellEnd"/>
      <w:r w:rsidR="0027324A">
        <w:t xml:space="preserve"> are defined as </w:t>
      </w:r>
      <w:r w:rsidR="009D35DC">
        <w:t>the</w:t>
      </w:r>
      <w:r>
        <w:t xml:space="preserve"> main applicant’s spo</w:t>
      </w:r>
      <w:r w:rsidR="005D3D61">
        <w:t>use/</w:t>
      </w:r>
      <w:r>
        <w:t>partner;</w:t>
      </w:r>
      <w:r>
        <w:rPr>
          <w:lang w:val="en-GB"/>
        </w:rPr>
        <w:t xml:space="preserve"> c</w:t>
      </w:r>
      <w:r w:rsidRPr="0044090D">
        <w:rPr>
          <w:lang w:val="en-GB"/>
        </w:rPr>
        <w:t>hildren under 18 years of age;</w:t>
      </w:r>
      <w:r>
        <w:rPr>
          <w:lang w:val="en-GB"/>
        </w:rPr>
        <w:t xml:space="preserve"> u</w:t>
      </w:r>
      <w:r w:rsidRPr="0044090D">
        <w:rPr>
          <w:lang w:val="en-GB"/>
        </w:rPr>
        <w:t>nmarried children between 18 and 26 years of age maintained by the main applicant;</w:t>
      </w:r>
      <w:r>
        <w:rPr>
          <w:lang w:val="en-GB"/>
        </w:rPr>
        <w:t xml:space="preserve"> p</w:t>
      </w:r>
      <w:r w:rsidRPr="0044090D">
        <w:rPr>
          <w:lang w:val="en-GB"/>
        </w:rPr>
        <w:t>arents or grandparents above 55 years of age maintained or supported by the main applicant and form</w:t>
      </w:r>
      <w:r w:rsidR="00B72CEE">
        <w:rPr>
          <w:lang w:val="en-GB"/>
        </w:rPr>
        <w:t>ing</w:t>
      </w:r>
      <w:r w:rsidRPr="0044090D">
        <w:rPr>
          <w:lang w:val="en-GB"/>
        </w:rPr>
        <w:t xml:space="preserve"> part of </w:t>
      </w:r>
      <w:r w:rsidR="008700CC">
        <w:rPr>
          <w:lang w:val="en-GB"/>
        </w:rPr>
        <w:t xml:space="preserve">the </w:t>
      </w:r>
      <w:r w:rsidRPr="0044090D">
        <w:rPr>
          <w:lang w:val="en-GB"/>
        </w:rPr>
        <w:t>household;</w:t>
      </w:r>
      <w:r>
        <w:rPr>
          <w:lang w:val="en-GB"/>
        </w:rPr>
        <w:t xml:space="preserve"> p</w:t>
      </w:r>
      <w:r w:rsidRPr="0044090D">
        <w:rPr>
          <w:lang w:val="en-GB"/>
        </w:rPr>
        <w:t xml:space="preserve">hysically or mentally challenged children </w:t>
      </w:r>
      <w:r w:rsidR="008700CC">
        <w:rPr>
          <w:lang w:val="en-GB"/>
        </w:rPr>
        <w:t>of</w:t>
      </w:r>
      <w:r w:rsidRPr="0044090D">
        <w:rPr>
          <w:lang w:val="en-GB"/>
        </w:rPr>
        <w:t xml:space="preserve"> at least 18 years of age </w:t>
      </w:r>
      <w:r w:rsidR="008700CC">
        <w:rPr>
          <w:lang w:val="en-GB"/>
        </w:rPr>
        <w:t>living</w:t>
      </w:r>
      <w:r w:rsidRPr="0044090D">
        <w:rPr>
          <w:lang w:val="en-GB"/>
        </w:rPr>
        <w:t xml:space="preserve"> with and su</w:t>
      </w:r>
      <w:r>
        <w:rPr>
          <w:lang w:val="en-GB"/>
        </w:rPr>
        <w:t xml:space="preserve">pported by the main applicant. </w:t>
      </w:r>
      <w:r w:rsidR="008F5A88">
        <w:rPr>
          <w:b/>
        </w:rPr>
        <w:t>N</w:t>
      </w:r>
      <w:r w:rsidRPr="00D31FC0">
        <w:rPr>
          <w:b/>
        </w:rPr>
        <w:t xml:space="preserve">o separate investment is required from </w:t>
      </w:r>
      <w:proofErr w:type="spellStart"/>
      <w:r w:rsidRPr="00D31FC0">
        <w:rPr>
          <w:b/>
        </w:rPr>
        <w:t>dependants</w:t>
      </w:r>
      <w:proofErr w:type="spellEnd"/>
      <w:r w:rsidRPr="00D31FC0">
        <w:rPr>
          <w:b/>
        </w:rPr>
        <w:t xml:space="preserve"> and the contribution </w:t>
      </w:r>
      <w:r w:rsidR="008700CC">
        <w:rPr>
          <w:b/>
        </w:rPr>
        <w:t xml:space="preserve">required on </w:t>
      </w:r>
      <w:r w:rsidR="009D35DC">
        <w:rPr>
          <w:b/>
        </w:rPr>
        <w:t xml:space="preserve">their </w:t>
      </w:r>
      <w:r w:rsidRPr="00D31FC0">
        <w:rPr>
          <w:b/>
        </w:rPr>
        <w:t>behalf is much lower</w:t>
      </w:r>
      <w:r w:rsidRPr="0044090D">
        <w:t xml:space="preserve"> than that </w:t>
      </w:r>
      <w:r w:rsidR="008700CC">
        <w:t>for</w:t>
      </w:r>
      <w:r w:rsidRPr="0044090D">
        <w:t xml:space="preserve"> the main applicant. The due diligence fees are also lower for </w:t>
      </w:r>
      <w:proofErr w:type="spellStart"/>
      <w:r w:rsidRPr="0044090D">
        <w:t>dependants</w:t>
      </w:r>
      <w:proofErr w:type="spellEnd"/>
      <w:r w:rsidRPr="0044090D">
        <w:t xml:space="preserve">. </w:t>
      </w:r>
      <w:r>
        <w:t xml:space="preserve">The </w:t>
      </w:r>
      <w:r w:rsidRPr="009D35DC">
        <w:rPr>
          <w:b/>
        </w:rPr>
        <w:t>IIP is capped</w:t>
      </w:r>
      <w:r w:rsidR="008700CC">
        <w:t xml:space="preserve"> at 1800 main applicants (</w:t>
      </w:r>
      <w:r w:rsidR="008700CC" w:rsidRPr="008700CC">
        <w:rPr>
          <w:b/>
        </w:rPr>
        <w:t>excluding</w:t>
      </w:r>
      <w:r w:rsidRPr="008700CC">
        <w:rPr>
          <w:b/>
        </w:rPr>
        <w:t xml:space="preserve"> </w:t>
      </w:r>
      <w:proofErr w:type="spellStart"/>
      <w:r w:rsidRPr="008700CC">
        <w:rPr>
          <w:b/>
        </w:rPr>
        <w:t>dependants</w:t>
      </w:r>
      <w:proofErr w:type="spellEnd"/>
      <w:r w:rsidR="008700CC">
        <w:rPr>
          <w:b/>
        </w:rPr>
        <w:t>)</w:t>
      </w:r>
      <w:r>
        <w:t>.</w:t>
      </w:r>
    </w:p>
    <w:p w14:paraId="77D1E537" w14:textId="152F1938" w:rsidR="008F5A88" w:rsidRDefault="008F5A88" w:rsidP="00B83867">
      <w:pPr>
        <w:pStyle w:val="MBT"/>
        <w:spacing w:line="240" w:lineRule="exact"/>
      </w:pPr>
    </w:p>
    <w:p w14:paraId="36FE94E5" w14:textId="33727271" w:rsidR="002B6498" w:rsidRPr="00D1312C" w:rsidRDefault="0067102C" w:rsidP="00B83867">
      <w:pPr>
        <w:pStyle w:val="MBT"/>
        <w:spacing w:line="240" w:lineRule="exact"/>
        <w:rPr>
          <w:b/>
          <w:lang w:val="en-GB"/>
        </w:rPr>
      </w:pPr>
      <w:r>
        <w:t xml:space="preserve">The IIP process consists of several stages: application for </w:t>
      </w:r>
      <w:r w:rsidR="00E0764B">
        <w:t>e-</w:t>
      </w:r>
      <w:r w:rsidR="00440E1A">
        <w:t>Residence</w:t>
      </w:r>
      <w:r w:rsidR="00E0764B">
        <w:t xml:space="preserve"> Card</w:t>
      </w:r>
      <w:r w:rsidRPr="00E0764B">
        <w:t>,</w:t>
      </w:r>
      <w:r>
        <w:t xml:space="preserve"> application for citizenship, oath of allegiance and </w:t>
      </w:r>
      <w:proofErr w:type="spellStart"/>
      <w:r>
        <w:t>naturalisation</w:t>
      </w:r>
      <w:proofErr w:type="spellEnd"/>
      <w:r>
        <w:t>.</w:t>
      </w:r>
      <w:r w:rsidRPr="0044090D">
        <w:rPr>
          <w:rStyle w:val="FootnoteReference"/>
          <w:lang w:val="en-GB"/>
        </w:rPr>
        <w:footnoteReference w:id="10"/>
      </w:r>
      <w:r>
        <w:t xml:space="preserve"> </w:t>
      </w:r>
      <w:r w:rsidR="00E0764B">
        <w:t>The</w:t>
      </w:r>
      <w:r w:rsidR="00B71084">
        <w:t xml:space="preserve"> applicant first </w:t>
      </w:r>
      <w:r w:rsidR="00C05B60">
        <w:t>mandates the</w:t>
      </w:r>
      <w:r w:rsidR="00B71084">
        <w:t xml:space="preserve"> agent </w:t>
      </w:r>
      <w:r w:rsidR="00C05B60">
        <w:t>to submit</w:t>
      </w:r>
      <w:r w:rsidR="00B71084">
        <w:t xml:space="preserve"> an </w:t>
      </w:r>
      <w:r w:rsidR="00B71084" w:rsidRPr="00D1312C">
        <w:rPr>
          <w:b/>
        </w:rPr>
        <w:t xml:space="preserve">application </w:t>
      </w:r>
      <w:r w:rsidR="00B71084" w:rsidRPr="00D1312C">
        <w:rPr>
          <w:b/>
          <w:lang w:val="en-GB"/>
        </w:rPr>
        <w:t>for an e-Residence Card</w:t>
      </w:r>
      <w:r w:rsidR="00B71084" w:rsidRPr="0044090D">
        <w:rPr>
          <w:lang w:val="en-GB"/>
        </w:rPr>
        <w:t xml:space="preserve"> </w:t>
      </w:r>
      <w:r w:rsidR="00B71084">
        <w:rPr>
          <w:lang w:val="en-GB"/>
        </w:rPr>
        <w:t xml:space="preserve">(application form, supporting documents, initial due diligence) </w:t>
      </w:r>
      <w:r w:rsidR="00B71084" w:rsidRPr="0044090D">
        <w:rPr>
          <w:lang w:val="en-GB"/>
        </w:rPr>
        <w:t xml:space="preserve">and </w:t>
      </w:r>
      <w:r w:rsidR="00C05B60">
        <w:rPr>
          <w:lang w:val="en-GB"/>
        </w:rPr>
        <w:t>pay</w:t>
      </w:r>
      <w:r w:rsidR="00B71084" w:rsidRPr="0044090D">
        <w:rPr>
          <w:lang w:val="en-GB"/>
        </w:rPr>
        <w:t xml:space="preserve"> the initial part contribution – a EUR 5,000 </w:t>
      </w:r>
      <w:r w:rsidR="00B71084">
        <w:rPr>
          <w:lang w:val="en-GB"/>
        </w:rPr>
        <w:t xml:space="preserve">non-refundable deposit. </w:t>
      </w:r>
      <w:r w:rsidR="00964C5C">
        <w:rPr>
          <w:lang w:val="en-GB"/>
        </w:rPr>
        <w:t>The agent sets up an appointment for the applicant at I</w:t>
      </w:r>
      <w:r w:rsidR="00C17BD6">
        <w:rPr>
          <w:lang w:val="en-GB"/>
        </w:rPr>
        <w:t>dentity M</w:t>
      </w:r>
      <w:r w:rsidR="00964C5C">
        <w:rPr>
          <w:lang w:val="en-GB"/>
        </w:rPr>
        <w:t>a</w:t>
      </w:r>
      <w:r w:rsidR="00C17BD6">
        <w:rPr>
          <w:lang w:val="en-GB"/>
        </w:rPr>
        <w:t>l</w:t>
      </w:r>
      <w:r w:rsidR="00964C5C">
        <w:rPr>
          <w:lang w:val="en-GB"/>
        </w:rPr>
        <w:t>t</w:t>
      </w:r>
      <w:r w:rsidR="00C17BD6">
        <w:rPr>
          <w:lang w:val="en-GB"/>
        </w:rPr>
        <w:t>a at</w:t>
      </w:r>
      <w:r w:rsidR="00964C5C">
        <w:rPr>
          <w:lang w:val="en-GB"/>
        </w:rPr>
        <w:t xml:space="preserve"> least </w:t>
      </w:r>
      <w:r w:rsidR="00440E1A">
        <w:rPr>
          <w:lang w:val="en-GB"/>
        </w:rPr>
        <w:t>one</w:t>
      </w:r>
      <w:r w:rsidR="00964C5C">
        <w:rPr>
          <w:lang w:val="en-GB"/>
        </w:rPr>
        <w:t xml:space="preserve"> week after the submission of </w:t>
      </w:r>
      <w:r w:rsidR="00440E1A">
        <w:rPr>
          <w:lang w:val="en-GB"/>
        </w:rPr>
        <w:t>the</w:t>
      </w:r>
      <w:r w:rsidR="00964C5C">
        <w:rPr>
          <w:lang w:val="en-GB"/>
        </w:rPr>
        <w:t xml:space="preserve"> documents. </w:t>
      </w:r>
      <w:r w:rsidR="00C17BD6">
        <w:rPr>
          <w:lang w:val="en-GB"/>
        </w:rPr>
        <w:t>Applicants</w:t>
      </w:r>
      <w:r w:rsidR="00964C5C">
        <w:rPr>
          <w:lang w:val="en-GB"/>
        </w:rPr>
        <w:t xml:space="preserve"> </w:t>
      </w:r>
      <w:r w:rsidR="00964C5C">
        <w:rPr>
          <w:b/>
          <w:lang w:val="en-GB"/>
        </w:rPr>
        <w:t xml:space="preserve">must be physically present in Malta </w:t>
      </w:r>
      <w:r w:rsidR="00964C5C">
        <w:rPr>
          <w:lang w:val="en-GB"/>
        </w:rPr>
        <w:t xml:space="preserve">for this appointment and </w:t>
      </w:r>
      <w:r w:rsidR="00C17BD6">
        <w:rPr>
          <w:lang w:val="en-GB"/>
        </w:rPr>
        <w:t>their</w:t>
      </w:r>
      <w:r w:rsidR="00964C5C">
        <w:rPr>
          <w:lang w:val="en-GB"/>
        </w:rPr>
        <w:t xml:space="preserve"> biometric data are taken. </w:t>
      </w:r>
      <w:r w:rsidR="00207E5D">
        <w:rPr>
          <w:lang w:val="en-GB"/>
        </w:rPr>
        <w:t>The e-Residenc</w:t>
      </w:r>
      <w:r w:rsidR="002B6498">
        <w:rPr>
          <w:lang w:val="en-GB"/>
        </w:rPr>
        <w:t>e</w:t>
      </w:r>
      <w:r w:rsidR="00207E5D">
        <w:rPr>
          <w:lang w:val="en-GB"/>
        </w:rPr>
        <w:t xml:space="preserve"> </w:t>
      </w:r>
      <w:r w:rsidR="00E0764B">
        <w:rPr>
          <w:lang w:val="en-GB"/>
        </w:rPr>
        <w:t>C</w:t>
      </w:r>
      <w:r w:rsidR="00207E5D">
        <w:rPr>
          <w:lang w:val="en-GB"/>
        </w:rPr>
        <w:t>ard</w:t>
      </w:r>
      <w:r w:rsidR="002B6498">
        <w:rPr>
          <w:lang w:val="en-GB"/>
        </w:rPr>
        <w:t xml:space="preserve"> </w:t>
      </w:r>
      <w:r w:rsidR="00C17BD6">
        <w:rPr>
          <w:lang w:val="en-GB"/>
        </w:rPr>
        <w:t>valid for</w:t>
      </w:r>
      <w:r w:rsidR="002B6498">
        <w:rPr>
          <w:lang w:val="en-GB"/>
        </w:rPr>
        <w:t xml:space="preserve"> 18 months</w:t>
      </w:r>
      <w:r w:rsidR="00207E5D">
        <w:rPr>
          <w:lang w:val="en-GB"/>
        </w:rPr>
        <w:t xml:space="preserve"> is issued within one to five working days. </w:t>
      </w:r>
      <w:r w:rsidR="00C05B60" w:rsidRPr="00E0764B">
        <w:rPr>
          <w:bCs w:val="0"/>
        </w:rPr>
        <w:t>Main</w:t>
      </w:r>
      <w:r w:rsidR="00C05B60" w:rsidRPr="00E0764B">
        <w:t xml:space="preserve"> applicants must prove that they have </w:t>
      </w:r>
      <w:r w:rsidR="00C05B60" w:rsidRPr="00E0764B">
        <w:rPr>
          <w:b/>
        </w:rPr>
        <w:t>been resident in Malta for at least 12 months</w:t>
      </w:r>
      <w:r w:rsidR="00C05B60" w:rsidRPr="00E0764B">
        <w:t xml:space="preserve"> preceding the issuance of the certificate of </w:t>
      </w:r>
      <w:proofErr w:type="spellStart"/>
      <w:r w:rsidR="00C05B60" w:rsidRPr="00E0764B">
        <w:t>naturalisation</w:t>
      </w:r>
      <w:proofErr w:type="spellEnd"/>
      <w:r w:rsidR="00C05B60" w:rsidRPr="00E0764B">
        <w:t>.</w:t>
      </w:r>
      <w:r w:rsidR="00C05B60" w:rsidRPr="00E0764B">
        <w:rPr>
          <w:rStyle w:val="FootnoteReference"/>
        </w:rPr>
        <w:footnoteReference w:id="11"/>
      </w:r>
      <w:r w:rsidR="00C05B60" w:rsidRPr="00396CA4">
        <w:t xml:space="preserve"> </w:t>
      </w:r>
      <w:r w:rsidR="00207E5D">
        <w:rPr>
          <w:lang w:val="en-GB"/>
        </w:rPr>
        <w:t>The date on the card denotes the start of the residenc</w:t>
      </w:r>
      <w:r w:rsidR="002B6498">
        <w:rPr>
          <w:lang w:val="en-GB"/>
        </w:rPr>
        <w:t>y</w:t>
      </w:r>
      <w:r w:rsidR="00207E5D">
        <w:rPr>
          <w:lang w:val="en-GB"/>
        </w:rPr>
        <w:t xml:space="preserve"> period</w:t>
      </w:r>
      <w:r w:rsidR="002B6498">
        <w:rPr>
          <w:lang w:val="en-GB"/>
        </w:rPr>
        <w:t xml:space="preserve"> for the purposes of</w:t>
      </w:r>
      <w:r w:rsidR="00C17BD6">
        <w:rPr>
          <w:lang w:val="en-GB"/>
        </w:rPr>
        <w:t xml:space="preserve"> the</w:t>
      </w:r>
      <w:r w:rsidR="002B6498">
        <w:rPr>
          <w:lang w:val="en-GB"/>
        </w:rPr>
        <w:t xml:space="preserve"> IIP</w:t>
      </w:r>
      <w:r w:rsidR="00207E5D">
        <w:rPr>
          <w:lang w:val="en-GB"/>
        </w:rPr>
        <w:t xml:space="preserve">. </w:t>
      </w:r>
      <w:r w:rsidR="002B6498" w:rsidRPr="00D1312C">
        <w:rPr>
          <w:b/>
          <w:lang w:val="en-GB"/>
        </w:rPr>
        <w:t xml:space="preserve">During the residency period, the applicant is not required to be physically present in Malta, and there is no minimum number of days of mandatory physical presence. </w:t>
      </w:r>
    </w:p>
    <w:p w14:paraId="3A12C78A" w14:textId="77777777" w:rsidR="002B6498" w:rsidRPr="00D1312C" w:rsidRDefault="002B6498" w:rsidP="00B83867">
      <w:pPr>
        <w:pStyle w:val="MBT"/>
        <w:spacing w:line="240" w:lineRule="exact"/>
        <w:rPr>
          <w:b/>
          <w:lang w:val="en-GB"/>
        </w:rPr>
      </w:pPr>
    </w:p>
    <w:p w14:paraId="1B166D56" w14:textId="423411B4" w:rsidR="00245004" w:rsidRDefault="00207E5D" w:rsidP="00B83867">
      <w:pPr>
        <w:pStyle w:val="MBT"/>
        <w:spacing w:line="240" w:lineRule="exact"/>
        <w:rPr>
          <w:lang w:val="en-GB"/>
        </w:rPr>
      </w:pPr>
      <w:r>
        <w:rPr>
          <w:lang w:val="en-GB"/>
        </w:rPr>
        <w:t>Once the applicant receives the e-Residenc</w:t>
      </w:r>
      <w:r w:rsidR="00C17BD6">
        <w:rPr>
          <w:lang w:val="en-GB"/>
        </w:rPr>
        <w:t>e</w:t>
      </w:r>
      <w:r>
        <w:rPr>
          <w:lang w:val="en-GB"/>
        </w:rPr>
        <w:t xml:space="preserve"> </w:t>
      </w:r>
      <w:r w:rsidR="00C17BD6">
        <w:rPr>
          <w:lang w:val="en-GB"/>
        </w:rPr>
        <w:t>C</w:t>
      </w:r>
      <w:r>
        <w:rPr>
          <w:lang w:val="en-GB"/>
        </w:rPr>
        <w:t xml:space="preserve">ard </w:t>
      </w:r>
      <w:r w:rsidR="002B6498">
        <w:rPr>
          <w:lang w:val="en-GB"/>
        </w:rPr>
        <w:t xml:space="preserve">the </w:t>
      </w:r>
      <w:r w:rsidR="00B730EB">
        <w:rPr>
          <w:lang w:val="en-GB"/>
        </w:rPr>
        <w:t xml:space="preserve">citizenship </w:t>
      </w:r>
      <w:r w:rsidR="002B6498">
        <w:rPr>
          <w:lang w:val="en-GB"/>
        </w:rPr>
        <w:t xml:space="preserve">application stage </w:t>
      </w:r>
      <w:r w:rsidR="00B730EB">
        <w:rPr>
          <w:lang w:val="en-GB"/>
        </w:rPr>
        <w:t>can be</w:t>
      </w:r>
      <w:r w:rsidR="002B6498">
        <w:rPr>
          <w:lang w:val="en-GB"/>
        </w:rPr>
        <w:t xml:space="preserve"> initiated. The agent submits the </w:t>
      </w:r>
      <w:r w:rsidR="002B6498" w:rsidRPr="00D1312C">
        <w:rPr>
          <w:b/>
          <w:lang w:val="en-GB"/>
        </w:rPr>
        <w:t>complete application pack for citizenship</w:t>
      </w:r>
      <w:r w:rsidR="002B6498">
        <w:rPr>
          <w:lang w:val="en-GB"/>
        </w:rPr>
        <w:t xml:space="preserve"> </w:t>
      </w:r>
      <w:r w:rsidR="002B6498" w:rsidRPr="0044090D">
        <w:rPr>
          <w:lang w:val="en-GB"/>
        </w:rPr>
        <w:t>to Identity Malta</w:t>
      </w:r>
      <w:r w:rsidR="00C17BD6">
        <w:rPr>
          <w:lang w:val="en-GB"/>
        </w:rPr>
        <w:t xml:space="preserve"> along with</w:t>
      </w:r>
      <w:r w:rsidR="002B6498">
        <w:rPr>
          <w:lang w:val="en-GB"/>
        </w:rPr>
        <w:t>:</w:t>
      </w:r>
      <w:r w:rsidR="002B6498" w:rsidRPr="0044090D">
        <w:rPr>
          <w:lang w:val="en-GB"/>
        </w:rPr>
        <w:t xml:space="preserve"> due diligence fees and bank charges</w:t>
      </w:r>
      <w:r w:rsidR="002B6498">
        <w:rPr>
          <w:lang w:val="en-GB"/>
        </w:rPr>
        <w:t>; proof that</w:t>
      </w:r>
      <w:r w:rsidR="002B6498" w:rsidRPr="0044090D">
        <w:rPr>
          <w:lang w:val="en-GB"/>
        </w:rPr>
        <w:t xml:space="preserve"> the main applicant and dependants are not suffering from any contagious disease and </w:t>
      </w:r>
      <w:r w:rsidR="002B6498">
        <w:rPr>
          <w:lang w:val="en-GB"/>
        </w:rPr>
        <w:t>are</w:t>
      </w:r>
      <w:r w:rsidR="002B6498" w:rsidRPr="0044090D">
        <w:rPr>
          <w:lang w:val="en-GB"/>
        </w:rPr>
        <w:t xml:space="preserve"> in good health;</w:t>
      </w:r>
      <w:r w:rsidR="002B6498">
        <w:rPr>
          <w:lang w:val="en-GB"/>
        </w:rPr>
        <w:t xml:space="preserve"> police certificate</w:t>
      </w:r>
      <w:r w:rsidR="002B6498" w:rsidRPr="0044090D">
        <w:rPr>
          <w:lang w:val="en-GB"/>
        </w:rPr>
        <w:t>s</w:t>
      </w:r>
      <w:r w:rsidR="002B6498">
        <w:rPr>
          <w:lang w:val="en-GB"/>
        </w:rPr>
        <w:t>; evidence, through due diligence processes,</w:t>
      </w:r>
      <w:r w:rsidR="002B6498">
        <w:rPr>
          <w:rStyle w:val="FootnoteReference"/>
          <w:lang w:val="en-GB"/>
        </w:rPr>
        <w:footnoteReference w:id="12"/>
      </w:r>
      <w:r w:rsidR="002B6498">
        <w:rPr>
          <w:lang w:val="en-GB"/>
        </w:rPr>
        <w:t xml:space="preserve"> that the </w:t>
      </w:r>
      <w:r w:rsidR="002B6498" w:rsidRPr="0044090D">
        <w:rPr>
          <w:lang w:val="en-GB"/>
        </w:rPr>
        <w:t>main applicant and dependants are fit and proper persons to hold Maltese citizenship</w:t>
      </w:r>
      <w:r w:rsidR="002B6498">
        <w:rPr>
          <w:lang w:val="en-GB"/>
        </w:rPr>
        <w:t xml:space="preserve">; undertakings to </w:t>
      </w:r>
      <w:r w:rsidR="002B6498" w:rsidRPr="0044090D">
        <w:rPr>
          <w:lang w:val="en-GB"/>
        </w:rPr>
        <w:t xml:space="preserve">remit the </w:t>
      </w:r>
      <w:r w:rsidR="002B6498">
        <w:rPr>
          <w:lang w:val="en-GB"/>
        </w:rPr>
        <w:t xml:space="preserve">required contribution, </w:t>
      </w:r>
      <w:r w:rsidR="002B6498" w:rsidRPr="0044090D">
        <w:rPr>
          <w:lang w:val="en-GB"/>
        </w:rPr>
        <w:t>purchase or lease</w:t>
      </w:r>
      <w:r w:rsidR="002B6498">
        <w:rPr>
          <w:lang w:val="en-GB"/>
        </w:rPr>
        <w:t xml:space="preserve"> </w:t>
      </w:r>
      <w:r w:rsidR="002B6498" w:rsidRPr="0044090D">
        <w:rPr>
          <w:lang w:val="en-GB"/>
        </w:rPr>
        <w:t>immovable property in Malta</w:t>
      </w:r>
      <w:r w:rsidR="002B6498">
        <w:rPr>
          <w:lang w:val="en-GB"/>
        </w:rPr>
        <w:t>,</w:t>
      </w:r>
      <w:r w:rsidR="002B6498" w:rsidRPr="0044090D">
        <w:rPr>
          <w:lang w:val="en-GB"/>
        </w:rPr>
        <w:t xml:space="preserve"> make other investments in Malta</w:t>
      </w:r>
      <w:r w:rsidR="002B6498">
        <w:rPr>
          <w:lang w:val="en-GB"/>
        </w:rPr>
        <w:t xml:space="preserve">. </w:t>
      </w:r>
      <w:r w:rsidR="002B6498" w:rsidRPr="0044090D">
        <w:rPr>
          <w:lang w:val="en-GB"/>
        </w:rPr>
        <w:t>Once Identity Malta formally accept</w:t>
      </w:r>
      <w:r w:rsidR="002B6498">
        <w:rPr>
          <w:lang w:val="en-GB"/>
        </w:rPr>
        <w:t>s</w:t>
      </w:r>
      <w:r w:rsidR="002B6498" w:rsidRPr="0044090D">
        <w:rPr>
          <w:lang w:val="en-GB"/>
        </w:rPr>
        <w:t xml:space="preserve"> the application and </w:t>
      </w:r>
      <w:r w:rsidR="002B6498">
        <w:rPr>
          <w:lang w:val="en-GB"/>
        </w:rPr>
        <w:t xml:space="preserve">receives </w:t>
      </w:r>
      <w:r w:rsidR="002B6498" w:rsidRPr="0044090D">
        <w:rPr>
          <w:lang w:val="en-GB"/>
        </w:rPr>
        <w:t xml:space="preserve">the remaining part of the non-refundable payment (EUR 5,000) it issues a </w:t>
      </w:r>
      <w:r w:rsidR="002B6498" w:rsidRPr="00C07394">
        <w:rPr>
          <w:b/>
          <w:lang w:val="en-GB"/>
        </w:rPr>
        <w:t>Letter of Approval in Principle</w:t>
      </w:r>
      <w:r w:rsidR="002B6498" w:rsidRPr="0044090D">
        <w:rPr>
          <w:lang w:val="en-GB"/>
        </w:rPr>
        <w:t xml:space="preserve"> to the m</w:t>
      </w:r>
      <w:r w:rsidR="002B6498">
        <w:rPr>
          <w:lang w:val="en-GB"/>
        </w:rPr>
        <w:t xml:space="preserve">ain applicant who must then provide evidence of global health insurance and a </w:t>
      </w:r>
      <w:r w:rsidR="002B6498" w:rsidRPr="0044090D">
        <w:rPr>
          <w:lang w:val="en-GB"/>
        </w:rPr>
        <w:t>wri</w:t>
      </w:r>
      <w:r w:rsidR="002B6498">
        <w:rPr>
          <w:lang w:val="en-GB"/>
        </w:rPr>
        <w:t xml:space="preserve">tten undertaking to buy or take on lease </w:t>
      </w:r>
      <w:r w:rsidR="002B6498" w:rsidRPr="0044090D">
        <w:rPr>
          <w:lang w:val="en-GB"/>
        </w:rPr>
        <w:t>residential immovable property</w:t>
      </w:r>
      <w:r w:rsidR="002B6498">
        <w:rPr>
          <w:lang w:val="en-GB"/>
        </w:rPr>
        <w:t xml:space="preserve">. </w:t>
      </w:r>
      <w:r w:rsidR="002B6498" w:rsidRPr="0044090D">
        <w:rPr>
          <w:lang w:val="en-GB"/>
        </w:rPr>
        <w:t xml:space="preserve">If the conditions are satisfied, </w:t>
      </w:r>
      <w:r w:rsidR="00245004">
        <w:rPr>
          <w:lang w:val="en-GB"/>
        </w:rPr>
        <w:t xml:space="preserve">Identity Malta </w:t>
      </w:r>
      <w:r w:rsidR="00C17BD6">
        <w:rPr>
          <w:lang w:val="en-GB"/>
        </w:rPr>
        <w:t>invites</w:t>
      </w:r>
      <w:r w:rsidR="00245004">
        <w:rPr>
          <w:lang w:val="en-GB"/>
        </w:rPr>
        <w:t xml:space="preserve"> applicants to take the oath of allegiance. </w:t>
      </w:r>
      <w:r w:rsidR="00245004">
        <w:rPr>
          <w:b/>
          <w:lang w:val="en-GB"/>
        </w:rPr>
        <w:t>The main applicant and the dependants must be physically present</w:t>
      </w:r>
      <w:r w:rsidR="00C17BD6">
        <w:rPr>
          <w:b/>
          <w:lang w:val="en-GB"/>
        </w:rPr>
        <w:t xml:space="preserve"> </w:t>
      </w:r>
      <w:r w:rsidR="00245004">
        <w:rPr>
          <w:b/>
          <w:lang w:val="en-GB"/>
        </w:rPr>
        <w:t xml:space="preserve">to take the oath of allegiance to Malta. </w:t>
      </w:r>
      <w:r w:rsidR="00245004">
        <w:rPr>
          <w:lang w:val="en-GB"/>
        </w:rPr>
        <w:t xml:space="preserve">Following </w:t>
      </w:r>
      <w:r w:rsidR="00E0764B">
        <w:rPr>
          <w:lang w:val="en-GB"/>
        </w:rPr>
        <w:t>this</w:t>
      </w:r>
      <w:r w:rsidR="00245004">
        <w:rPr>
          <w:lang w:val="en-GB"/>
        </w:rPr>
        <w:t xml:space="preserve">, </w:t>
      </w:r>
      <w:r w:rsidR="002B6498" w:rsidRPr="0044090D">
        <w:rPr>
          <w:lang w:val="en-GB"/>
        </w:rPr>
        <w:t xml:space="preserve">the </w:t>
      </w:r>
      <w:r w:rsidR="002B6498" w:rsidRPr="0046726C">
        <w:rPr>
          <w:b/>
          <w:lang w:val="en-GB"/>
        </w:rPr>
        <w:t>certificate of naturalisation</w:t>
      </w:r>
      <w:r w:rsidR="00245004">
        <w:rPr>
          <w:b/>
          <w:lang w:val="en-GB"/>
        </w:rPr>
        <w:t xml:space="preserve"> </w:t>
      </w:r>
      <w:r w:rsidR="00245004">
        <w:rPr>
          <w:lang w:val="en-GB"/>
        </w:rPr>
        <w:t>becomes effective</w:t>
      </w:r>
      <w:r w:rsidR="002B6498" w:rsidRPr="00396CA4">
        <w:rPr>
          <w:lang w:val="en-GB"/>
        </w:rPr>
        <w:t>.</w:t>
      </w:r>
      <w:r w:rsidR="002B6498" w:rsidRPr="00396CA4">
        <w:rPr>
          <w:rStyle w:val="FootnoteReference"/>
          <w:lang w:val="en-GB"/>
        </w:rPr>
        <w:footnoteReference w:id="13"/>
      </w:r>
      <w:r w:rsidR="00245004">
        <w:rPr>
          <w:lang w:val="en-GB"/>
        </w:rPr>
        <w:t xml:space="preserve"> The passports are issued within five working days from the date of taking the oath of allegiance</w:t>
      </w:r>
      <w:r w:rsidR="00543C79">
        <w:rPr>
          <w:lang w:val="en-GB"/>
        </w:rPr>
        <w:t xml:space="preserve"> and </w:t>
      </w:r>
      <w:r w:rsidR="00543C79">
        <w:rPr>
          <w:b/>
          <w:lang w:val="en-GB"/>
        </w:rPr>
        <w:t>must be collected in person</w:t>
      </w:r>
      <w:r w:rsidR="00543C79">
        <w:rPr>
          <w:lang w:val="en-GB"/>
        </w:rPr>
        <w:t>.</w:t>
      </w:r>
      <w:r w:rsidR="00543C79" w:rsidRPr="00396CA4">
        <w:rPr>
          <w:rStyle w:val="FootnoteReference"/>
          <w:lang w:val="en-GB"/>
        </w:rPr>
        <w:footnoteReference w:id="14"/>
      </w:r>
      <w:r w:rsidR="00543C79">
        <w:rPr>
          <w:lang w:val="en-GB"/>
        </w:rPr>
        <w:t xml:space="preserve"> The whole process, from the submission of the e-Residenc</w:t>
      </w:r>
      <w:r w:rsidR="00E0764B">
        <w:rPr>
          <w:lang w:val="en-GB"/>
        </w:rPr>
        <w:t>e</w:t>
      </w:r>
      <w:r w:rsidR="00543C79">
        <w:rPr>
          <w:lang w:val="en-GB"/>
        </w:rPr>
        <w:t xml:space="preserve"> </w:t>
      </w:r>
      <w:r w:rsidR="00E0764B">
        <w:rPr>
          <w:lang w:val="en-GB"/>
        </w:rPr>
        <w:t>C</w:t>
      </w:r>
      <w:r w:rsidR="00543C79">
        <w:rPr>
          <w:lang w:val="en-GB"/>
        </w:rPr>
        <w:t>ard application to the collection of the passport normally takes about a year to complete.</w:t>
      </w:r>
      <w:r w:rsidR="00543C79" w:rsidRPr="00396CA4">
        <w:rPr>
          <w:rStyle w:val="FootnoteReference"/>
          <w:lang w:val="en-GB"/>
        </w:rPr>
        <w:footnoteReference w:id="15"/>
      </w:r>
    </w:p>
    <w:p w14:paraId="002015F3" w14:textId="1B7F4380" w:rsidR="007F0A4C" w:rsidRDefault="007F0A4C" w:rsidP="007F0A4C">
      <w:pPr>
        <w:pStyle w:val="MBT"/>
        <w:spacing w:line="240" w:lineRule="exact"/>
      </w:pPr>
      <w:bookmarkStart w:id="0" w:name="_GoBack"/>
      <w:bookmarkEnd w:id="0"/>
    </w:p>
    <w:p w14:paraId="3BEA0114" w14:textId="6F67FDB5" w:rsidR="00AB6836" w:rsidRPr="00AB6836" w:rsidRDefault="00396CA4" w:rsidP="00B83867">
      <w:pPr>
        <w:pStyle w:val="MBT"/>
        <w:spacing w:line="240" w:lineRule="exact"/>
        <w:rPr>
          <w:lang w:val="en-GB"/>
        </w:rPr>
      </w:pPr>
      <w:r w:rsidRPr="00396CA4">
        <w:rPr>
          <w:lang w:val="en-GB"/>
        </w:rPr>
        <w:t>The</w:t>
      </w:r>
      <w:r w:rsidR="003C3308">
        <w:rPr>
          <w:lang w:val="en-GB"/>
        </w:rPr>
        <w:t xml:space="preserve"> </w:t>
      </w:r>
      <w:r w:rsidR="007F4355">
        <w:rPr>
          <w:b/>
          <w:lang w:val="en-GB"/>
        </w:rPr>
        <w:t>financial disbursement</w:t>
      </w:r>
      <w:r w:rsidRPr="00396CA4">
        <w:rPr>
          <w:lang w:val="en-GB"/>
        </w:rPr>
        <w:t xml:space="preserve"> </w:t>
      </w:r>
      <w:r w:rsidR="007F4355">
        <w:rPr>
          <w:lang w:val="en-GB"/>
        </w:rPr>
        <w:t>consists of</w:t>
      </w:r>
      <w:r w:rsidRPr="00396CA4">
        <w:rPr>
          <w:lang w:val="en-GB"/>
        </w:rPr>
        <w:t xml:space="preserve"> an </w:t>
      </w:r>
      <w:r w:rsidRPr="00AB6836">
        <w:rPr>
          <w:b/>
          <w:lang w:val="en-GB"/>
        </w:rPr>
        <w:t>investment</w:t>
      </w:r>
      <w:r w:rsidRPr="00396CA4">
        <w:rPr>
          <w:lang w:val="en-GB"/>
        </w:rPr>
        <w:t xml:space="preserve"> by the main applica</w:t>
      </w:r>
      <w:r w:rsidR="005D3D61">
        <w:rPr>
          <w:lang w:val="en-GB"/>
        </w:rPr>
        <w:t>nt in stocks, bonds, debentures or</w:t>
      </w:r>
      <w:r w:rsidRPr="00396CA4">
        <w:rPr>
          <w:lang w:val="en-GB"/>
        </w:rPr>
        <w:t xml:space="preserve"> special purpose vehicles</w:t>
      </w:r>
      <w:r w:rsidR="00AB6836">
        <w:rPr>
          <w:lang w:val="en-GB"/>
        </w:rPr>
        <w:t xml:space="preserve"> </w:t>
      </w:r>
      <w:r w:rsidR="00AB6836" w:rsidRPr="00396CA4">
        <w:rPr>
          <w:lang w:val="en-GB"/>
        </w:rPr>
        <w:t>to an amount of EUR 150,000</w:t>
      </w:r>
      <w:r w:rsidR="001E1E54">
        <w:rPr>
          <w:lang w:val="en-GB"/>
        </w:rPr>
        <w:t>;</w:t>
      </w:r>
      <w:r w:rsidRPr="00396CA4">
        <w:rPr>
          <w:lang w:val="en-GB"/>
        </w:rPr>
        <w:t xml:space="preserve"> </w:t>
      </w:r>
      <w:r w:rsidR="00AB6836">
        <w:rPr>
          <w:lang w:val="en-GB"/>
        </w:rPr>
        <w:t xml:space="preserve">acquisition of </w:t>
      </w:r>
      <w:r w:rsidR="00AB6836" w:rsidRPr="00AB6836">
        <w:rPr>
          <w:b/>
          <w:lang w:val="en-GB"/>
        </w:rPr>
        <w:t>residential immovable property</w:t>
      </w:r>
      <w:r w:rsidR="00AB6836">
        <w:rPr>
          <w:lang w:val="en-GB"/>
        </w:rPr>
        <w:t xml:space="preserve"> of a </w:t>
      </w:r>
      <w:r w:rsidR="00AB6836" w:rsidRPr="00396CA4">
        <w:rPr>
          <w:lang w:val="en-GB"/>
        </w:rPr>
        <w:t>mini</w:t>
      </w:r>
      <w:r w:rsidR="00AB6836">
        <w:rPr>
          <w:lang w:val="en-GB"/>
        </w:rPr>
        <w:t>mum value of EUR 350,000 or</w:t>
      </w:r>
      <w:r w:rsidR="00AB6836" w:rsidRPr="00396CA4">
        <w:rPr>
          <w:lang w:val="en-GB"/>
        </w:rPr>
        <w:t xml:space="preserve"> lease </w:t>
      </w:r>
      <w:r w:rsidR="00AB6836">
        <w:rPr>
          <w:lang w:val="en-GB"/>
        </w:rPr>
        <w:t xml:space="preserve">of </w:t>
      </w:r>
      <w:r w:rsidR="00AB6836" w:rsidRPr="00396CA4">
        <w:rPr>
          <w:lang w:val="en-GB"/>
        </w:rPr>
        <w:t>re</w:t>
      </w:r>
      <w:r w:rsidR="001E1E54">
        <w:rPr>
          <w:lang w:val="en-GB"/>
        </w:rPr>
        <w:t>s</w:t>
      </w:r>
      <w:r w:rsidR="00AB6836" w:rsidRPr="00396CA4">
        <w:rPr>
          <w:lang w:val="en-GB"/>
        </w:rPr>
        <w:t>idential immovable property for a minimum annual rent of EUR 16,</w:t>
      </w:r>
      <w:r w:rsidR="00AB6836">
        <w:rPr>
          <w:lang w:val="en-GB"/>
        </w:rPr>
        <w:t>000</w:t>
      </w:r>
      <w:r w:rsidRPr="00396CA4">
        <w:rPr>
          <w:lang w:val="en-GB"/>
        </w:rPr>
        <w:t xml:space="preserve">; a </w:t>
      </w:r>
      <w:r w:rsidRPr="00AB6836">
        <w:rPr>
          <w:b/>
          <w:lang w:val="en-GB"/>
        </w:rPr>
        <w:t>contribution</w:t>
      </w:r>
      <w:r w:rsidRPr="00396CA4">
        <w:rPr>
          <w:lang w:val="en-GB"/>
        </w:rPr>
        <w:t xml:space="preserve"> for the main applicant and each dep</w:t>
      </w:r>
      <w:r w:rsidR="00AB6836">
        <w:rPr>
          <w:lang w:val="en-GB"/>
        </w:rPr>
        <w:t>endant as follows:</w:t>
      </w:r>
      <w:r w:rsidRPr="00396CA4">
        <w:rPr>
          <w:lang w:val="en-GB"/>
        </w:rPr>
        <w:t xml:space="preserve"> </w:t>
      </w:r>
      <w:r w:rsidR="00AB6836" w:rsidRPr="00396CA4">
        <w:t>EUR 650,000 of which EUR 10,000 is remitted as a</w:t>
      </w:r>
      <w:r w:rsidR="00DE4E0A">
        <w:t xml:space="preserve"> non-refundable deposit prior to</w:t>
      </w:r>
      <w:r w:rsidR="00AB6836" w:rsidRPr="00396CA4">
        <w:t xml:space="preserve"> submission of the application (main applicant); EUR 25,000 (spouse; </w:t>
      </w:r>
      <w:r w:rsidR="00EC367D">
        <w:t>child</w:t>
      </w:r>
      <w:r w:rsidR="00AB6836" w:rsidRPr="00396CA4">
        <w:t xml:space="preserve"> under 18 years of age); EUR 50,000 (unmarried child between 18 and 26 years of age; </w:t>
      </w:r>
      <w:proofErr w:type="spellStart"/>
      <w:r w:rsidR="00AB6836" w:rsidRPr="00396CA4">
        <w:t>dependant</w:t>
      </w:r>
      <w:proofErr w:type="spellEnd"/>
      <w:r w:rsidR="00AB6836" w:rsidRPr="00396CA4">
        <w:t xml:space="preserve"> parent above 55 years of age).</w:t>
      </w:r>
      <w:r w:rsidR="001E1E54">
        <w:rPr>
          <w:rStyle w:val="FootnoteReference"/>
        </w:rPr>
        <w:footnoteReference w:id="16"/>
      </w:r>
      <w:r w:rsidR="00AB6836" w:rsidRPr="00396CA4">
        <w:t xml:space="preserve"> </w:t>
      </w:r>
      <w:r w:rsidR="001C1718">
        <w:lastRenderedPageBreak/>
        <w:t xml:space="preserve">The </w:t>
      </w:r>
      <w:r w:rsidR="00E66846" w:rsidRPr="00D1312C">
        <w:rPr>
          <w:b/>
        </w:rPr>
        <w:t>investment and the immovable property must be kept for at least five years</w:t>
      </w:r>
      <w:r w:rsidR="00E66846">
        <w:t>.</w:t>
      </w:r>
      <w:r w:rsidR="00E66846">
        <w:rPr>
          <w:rStyle w:val="FootnoteReference"/>
        </w:rPr>
        <w:footnoteReference w:id="17"/>
      </w:r>
    </w:p>
    <w:p w14:paraId="1B382C71" w14:textId="77777777" w:rsidR="00396CA4" w:rsidRPr="00396CA4" w:rsidRDefault="00396CA4" w:rsidP="00B83867">
      <w:pPr>
        <w:pStyle w:val="MBT"/>
        <w:spacing w:line="240" w:lineRule="exact"/>
        <w:rPr>
          <w:lang w:val="en-GB"/>
        </w:rPr>
      </w:pPr>
    </w:p>
    <w:p w14:paraId="550DAC2A" w14:textId="2C711EDC" w:rsidR="006249BF" w:rsidRDefault="00396CA4" w:rsidP="00B83867">
      <w:pPr>
        <w:spacing w:line="240" w:lineRule="exact"/>
        <w:jc w:val="both"/>
        <w:rPr>
          <w:rFonts w:ascii="Times New Roman" w:hAnsi="Times New Roman" w:cs="Times New Roman"/>
          <w:bCs/>
          <w:sz w:val="22"/>
          <w:szCs w:val="22"/>
        </w:rPr>
      </w:pPr>
      <w:r w:rsidRPr="00396CA4">
        <w:rPr>
          <w:rFonts w:ascii="Times New Roman" w:hAnsi="Times New Roman" w:cs="Times New Roman"/>
          <w:bCs/>
          <w:sz w:val="22"/>
          <w:szCs w:val="22"/>
        </w:rPr>
        <w:t xml:space="preserve">In addition, </w:t>
      </w:r>
      <w:r w:rsidRPr="00396CA4">
        <w:rPr>
          <w:rFonts w:ascii="Times New Roman" w:hAnsi="Times New Roman" w:cs="Times New Roman"/>
          <w:b/>
          <w:bCs/>
          <w:sz w:val="22"/>
          <w:szCs w:val="22"/>
        </w:rPr>
        <w:t>due diligence fees</w:t>
      </w:r>
      <w:r w:rsidRPr="00396CA4">
        <w:rPr>
          <w:rFonts w:ascii="Times New Roman" w:hAnsi="Times New Roman" w:cs="Times New Roman"/>
          <w:bCs/>
          <w:sz w:val="22"/>
          <w:szCs w:val="22"/>
        </w:rPr>
        <w:t xml:space="preserve"> </w:t>
      </w:r>
      <w:r w:rsidR="00580882">
        <w:rPr>
          <w:rFonts w:ascii="Times New Roman" w:hAnsi="Times New Roman" w:cs="Times New Roman"/>
          <w:bCs/>
          <w:sz w:val="22"/>
          <w:szCs w:val="22"/>
        </w:rPr>
        <w:t>are payable</w:t>
      </w:r>
      <w:r w:rsidR="0027324A">
        <w:rPr>
          <w:rFonts w:ascii="Times New Roman" w:hAnsi="Times New Roman" w:cs="Times New Roman"/>
          <w:bCs/>
          <w:sz w:val="22"/>
          <w:szCs w:val="22"/>
        </w:rPr>
        <w:t xml:space="preserve"> to Identity Malta</w:t>
      </w:r>
      <w:r w:rsidR="00580882">
        <w:rPr>
          <w:rFonts w:ascii="Times New Roman" w:hAnsi="Times New Roman" w:cs="Times New Roman"/>
          <w:bCs/>
          <w:sz w:val="22"/>
          <w:szCs w:val="22"/>
        </w:rPr>
        <w:t xml:space="preserve"> </w:t>
      </w:r>
      <w:r w:rsidR="00063BF8">
        <w:rPr>
          <w:rFonts w:ascii="Times New Roman" w:hAnsi="Times New Roman" w:cs="Times New Roman"/>
          <w:bCs/>
          <w:sz w:val="22"/>
          <w:szCs w:val="22"/>
        </w:rPr>
        <w:t xml:space="preserve">per person </w:t>
      </w:r>
      <w:r w:rsidR="00B72CEE">
        <w:rPr>
          <w:rFonts w:ascii="Times New Roman" w:hAnsi="Times New Roman" w:cs="Times New Roman"/>
          <w:bCs/>
          <w:sz w:val="22"/>
          <w:szCs w:val="22"/>
        </w:rPr>
        <w:t>as follows:</w:t>
      </w:r>
      <w:r w:rsidR="00580882">
        <w:rPr>
          <w:rFonts w:ascii="Times New Roman" w:hAnsi="Times New Roman" w:cs="Times New Roman"/>
          <w:bCs/>
          <w:sz w:val="22"/>
          <w:szCs w:val="22"/>
        </w:rPr>
        <w:t xml:space="preserve"> </w:t>
      </w:r>
      <w:r w:rsidRPr="00396CA4">
        <w:rPr>
          <w:rFonts w:ascii="Times New Roman" w:hAnsi="Times New Roman" w:cs="Times New Roman"/>
          <w:bCs/>
          <w:sz w:val="22"/>
          <w:szCs w:val="22"/>
        </w:rPr>
        <w:t>EUR 7,500 (main applicant); EUR 5,000 (</w:t>
      </w:r>
      <w:r w:rsidR="00063BF8">
        <w:rPr>
          <w:rFonts w:ascii="Times New Roman" w:hAnsi="Times New Roman" w:cs="Times New Roman"/>
          <w:bCs/>
          <w:sz w:val="22"/>
          <w:szCs w:val="22"/>
        </w:rPr>
        <w:t xml:space="preserve">all </w:t>
      </w:r>
      <w:proofErr w:type="spellStart"/>
      <w:r w:rsidR="00063BF8">
        <w:rPr>
          <w:rFonts w:ascii="Times New Roman" w:hAnsi="Times New Roman" w:cs="Times New Roman"/>
          <w:bCs/>
          <w:sz w:val="22"/>
          <w:szCs w:val="22"/>
        </w:rPr>
        <w:t>dependants</w:t>
      </w:r>
      <w:proofErr w:type="spellEnd"/>
      <w:r w:rsidR="00063BF8">
        <w:rPr>
          <w:rFonts w:ascii="Times New Roman" w:hAnsi="Times New Roman" w:cs="Times New Roman"/>
          <w:bCs/>
          <w:sz w:val="22"/>
          <w:szCs w:val="22"/>
        </w:rPr>
        <w:t xml:space="preserve"> except children </w:t>
      </w:r>
      <w:r w:rsidR="00063BF8" w:rsidRPr="00396CA4">
        <w:rPr>
          <w:rFonts w:ascii="Times New Roman" w:hAnsi="Times New Roman" w:cs="Times New Roman"/>
          <w:bCs/>
          <w:sz w:val="22"/>
          <w:szCs w:val="22"/>
        </w:rPr>
        <w:t>between 13 and 18 years of age</w:t>
      </w:r>
      <w:r w:rsidR="00EC367D">
        <w:rPr>
          <w:rFonts w:ascii="Times New Roman" w:hAnsi="Times New Roman" w:cs="Times New Roman"/>
          <w:bCs/>
          <w:sz w:val="22"/>
          <w:szCs w:val="22"/>
        </w:rPr>
        <w:t>); EUR 3,000 (</w:t>
      </w:r>
      <w:r w:rsidRPr="00396CA4">
        <w:rPr>
          <w:rFonts w:ascii="Times New Roman" w:hAnsi="Times New Roman" w:cs="Times New Roman"/>
          <w:bCs/>
          <w:sz w:val="22"/>
          <w:szCs w:val="22"/>
        </w:rPr>
        <w:t>child</w:t>
      </w:r>
      <w:r w:rsidR="00B72CEE">
        <w:rPr>
          <w:rFonts w:ascii="Times New Roman" w:hAnsi="Times New Roman" w:cs="Times New Roman"/>
          <w:bCs/>
          <w:sz w:val="22"/>
          <w:szCs w:val="22"/>
        </w:rPr>
        <w:t>ren</w:t>
      </w:r>
      <w:r w:rsidRPr="00396CA4">
        <w:rPr>
          <w:rFonts w:ascii="Times New Roman" w:hAnsi="Times New Roman" w:cs="Times New Roman"/>
          <w:bCs/>
          <w:sz w:val="22"/>
          <w:szCs w:val="22"/>
        </w:rPr>
        <w:t xml:space="preserve"> between 13 and 18 years of age</w:t>
      </w:r>
      <w:r w:rsidR="006249BF">
        <w:rPr>
          <w:rFonts w:ascii="Times New Roman" w:hAnsi="Times New Roman" w:cs="Times New Roman"/>
          <w:bCs/>
          <w:sz w:val="22"/>
          <w:szCs w:val="22"/>
        </w:rPr>
        <w:t>)</w:t>
      </w:r>
      <w:r w:rsidRPr="00396CA4">
        <w:rPr>
          <w:rFonts w:ascii="Times New Roman" w:hAnsi="Times New Roman" w:cs="Times New Roman"/>
          <w:bCs/>
          <w:sz w:val="22"/>
          <w:szCs w:val="22"/>
        </w:rPr>
        <w:t xml:space="preserve">. </w:t>
      </w:r>
      <w:r w:rsidR="00063BF8">
        <w:rPr>
          <w:rFonts w:ascii="Times New Roman" w:hAnsi="Times New Roman" w:cs="Times New Roman"/>
          <w:bCs/>
          <w:sz w:val="22"/>
          <w:szCs w:val="22"/>
        </w:rPr>
        <w:t>T</w:t>
      </w:r>
      <w:r w:rsidRPr="00396CA4">
        <w:rPr>
          <w:rFonts w:ascii="Times New Roman" w:hAnsi="Times New Roman" w:cs="Times New Roman"/>
          <w:bCs/>
          <w:sz w:val="22"/>
          <w:szCs w:val="22"/>
        </w:rPr>
        <w:t>hese fees cover Identity Malta’s expenses in engaging third party service providers to carry out the due diligence processes.</w:t>
      </w:r>
      <w:r w:rsidRPr="00396CA4">
        <w:rPr>
          <w:rFonts w:ascii="Times New Roman" w:hAnsi="Times New Roman" w:cs="Times New Roman"/>
          <w:bCs/>
          <w:sz w:val="22"/>
          <w:szCs w:val="22"/>
          <w:vertAlign w:val="superscript"/>
        </w:rPr>
        <w:footnoteReference w:id="18"/>
      </w:r>
      <w:r w:rsidRPr="00396CA4">
        <w:rPr>
          <w:rFonts w:ascii="Times New Roman" w:hAnsi="Times New Roman" w:cs="Times New Roman"/>
          <w:bCs/>
          <w:sz w:val="22"/>
          <w:szCs w:val="22"/>
        </w:rPr>
        <w:t xml:space="preserve"> </w:t>
      </w:r>
      <w:r w:rsidR="00063BF8" w:rsidRPr="007F4355">
        <w:rPr>
          <w:rFonts w:ascii="Times New Roman" w:hAnsi="Times New Roman" w:cs="Times New Roman"/>
          <w:b/>
          <w:bCs/>
          <w:sz w:val="22"/>
          <w:szCs w:val="22"/>
        </w:rPr>
        <w:t>P</w:t>
      </w:r>
      <w:r w:rsidRPr="00396CA4">
        <w:rPr>
          <w:rFonts w:ascii="Times New Roman" w:hAnsi="Times New Roman" w:cs="Times New Roman"/>
          <w:b/>
          <w:bCs/>
          <w:sz w:val="22"/>
          <w:szCs w:val="22"/>
        </w:rPr>
        <w:t xml:space="preserve">assport fees </w:t>
      </w:r>
      <w:r w:rsidR="00063BF8" w:rsidRPr="00396CA4">
        <w:rPr>
          <w:rFonts w:ascii="Times New Roman" w:hAnsi="Times New Roman" w:cs="Times New Roman"/>
          <w:bCs/>
          <w:sz w:val="22"/>
          <w:szCs w:val="22"/>
        </w:rPr>
        <w:t>(EUR 500 per person)</w:t>
      </w:r>
      <w:r w:rsidR="00063BF8">
        <w:rPr>
          <w:rFonts w:ascii="Times New Roman" w:hAnsi="Times New Roman" w:cs="Times New Roman"/>
          <w:bCs/>
          <w:sz w:val="22"/>
          <w:szCs w:val="22"/>
        </w:rPr>
        <w:t xml:space="preserve"> </w:t>
      </w:r>
      <w:r w:rsidRPr="00396CA4">
        <w:rPr>
          <w:rFonts w:ascii="Times New Roman" w:hAnsi="Times New Roman" w:cs="Times New Roman"/>
          <w:b/>
          <w:bCs/>
          <w:sz w:val="22"/>
          <w:szCs w:val="22"/>
        </w:rPr>
        <w:t xml:space="preserve">and bank charges </w:t>
      </w:r>
      <w:r w:rsidR="00063BF8" w:rsidRPr="00396CA4">
        <w:rPr>
          <w:rFonts w:ascii="Times New Roman" w:hAnsi="Times New Roman" w:cs="Times New Roman"/>
          <w:bCs/>
          <w:sz w:val="22"/>
          <w:szCs w:val="22"/>
        </w:rPr>
        <w:t>(EUR 200 per application)</w:t>
      </w:r>
      <w:r w:rsidR="00063BF8">
        <w:rPr>
          <w:rFonts w:ascii="Times New Roman" w:hAnsi="Times New Roman" w:cs="Times New Roman"/>
          <w:bCs/>
          <w:sz w:val="22"/>
          <w:szCs w:val="22"/>
        </w:rPr>
        <w:t xml:space="preserve"> are also payable. </w:t>
      </w:r>
      <w:r w:rsidRPr="000A7EFA">
        <w:rPr>
          <w:rFonts w:ascii="Times New Roman" w:hAnsi="Times New Roman" w:cs="Times New Roman"/>
          <w:bCs/>
          <w:sz w:val="22"/>
          <w:szCs w:val="22"/>
        </w:rPr>
        <w:t xml:space="preserve">The </w:t>
      </w:r>
      <w:r w:rsidRPr="000A7EFA">
        <w:rPr>
          <w:rFonts w:ascii="Times New Roman" w:hAnsi="Times New Roman" w:cs="Times New Roman"/>
          <w:b/>
          <w:bCs/>
          <w:sz w:val="22"/>
          <w:szCs w:val="22"/>
        </w:rPr>
        <w:t xml:space="preserve">amount required to obtain Maltese citizenship through the IIP </w:t>
      </w:r>
      <w:r w:rsidR="007D2755">
        <w:rPr>
          <w:rFonts w:ascii="Times New Roman" w:hAnsi="Times New Roman" w:cs="Times New Roman"/>
          <w:b/>
          <w:bCs/>
          <w:sz w:val="22"/>
          <w:szCs w:val="22"/>
        </w:rPr>
        <w:t>therefore</w:t>
      </w:r>
      <w:r w:rsidR="007D2755" w:rsidRPr="000A7EFA">
        <w:rPr>
          <w:rFonts w:ascii="Times New Roman" w:hAnsi="Times New Roman" w:cs="Times New Roman"/>
          <w:b/>
          <w:bCs/>
          <w:sz w:val="22"/>
          <w:szCs w:val="22"/>
        </w:rPr>
        <w:t xml:space="preserve"> </w:t>
      </w:r>
      <w:r w:rsidRPr="000A7EFA">
        <w:rPr>
          <w:rFonts w:ascii="Times New Roman" w:hAnsi="Times New Roman" w:cs="Times New Roman"/>
          <w:b/>
          <w:bCs/>
          <w:sz w:val="22"/>
          <w:szCs w:val="22"/>
        </w:rPr>
        <w:t>depends</w:t>
      </w:r>
      <w:r w:rsidR="00E63954">
        <w:rPr>
          <w:rFonts w:ascii="Times New Roman" w:hAnsi="Times New Roman" w:cs="Times New Roman"/>
          <w:b/>
          <w:bCs/>
          <w:sz w:val="22"/>
          <w:szCs w:val="22"/>
        </w:rPr>
        <w:t xml:space="preserve"> </w:t>
      </w:r>
      <w:r w:rsidR="006249BF" w:rsidRPr="000A7EFA">
        <w:rPr>
          <w:rFonts w:ascii="Times New Roman" w:hAnsi="Times New Roman" w:cs="Times New Roman"/>
          <w:b/>
          <w:bCs/>
          <w:sz w:val="22"/>
          <w:szCs w:val="22"/>
        </w:rPr>
        <w:t>on the circumstances</w:t>
      </w:r>
      <w:r w:rsidR="006249BF" w:rsidRPr="000A7EFA">
        <w:rPr>
          <w:rFonts w:ascii="Times New Roman" w:hAnsi="Times New Roman" w:cs="Times New Roman"/>
          <w:bCs/>
          <w:sz w:val="22"/>
          <w:szCs w:val="22"/>
        </w:rPr>
        <w:t>.</w:t>
      </w:r>
      <w:r w:rsidRPr="000A7EFA">
        <w:rPr>
          <w:rFonts w:ascii="Times New Roman" w:hAnsi="Times New Roman" w:cs="Times New Roman"/>
          <w:bCs/>
          <w:sz w:val="22"/>
          <w:szCs w:val="22"/>
        </w:rPr>
        <w:t xml:space="preserve"> </w:t>
      </w:r>
      <w:r w:rsidR="00063BF8" w:rsidRPr="000A7EFA">
        <w:rPr>
          <w:rFonts w:ascii="Times New Roman" w:hAnsi="Times New Roman" w:cs="Times New Roman"/>
          <w:bCs/>
          <w:sz w:val="22"/>
          <w:szCs w:val="22"/>
        </w:rPr>
        <w:t xml:space="preserve">The </w:t>
      </w:r>
      <w:r w:rsidR="00063BF8" w:rsidRPr="000A7EFA">
        <w:rPr>
          <w:rFonts w:ascii="Times New Roman" w:hAnsi="Times New Roman" w:cs="Times New Roman"/>
          <w:b/>
          <w:bCs/>
          <w:sz w:val="22"/>
          <w:szCs w:val="22"/>
        </w:rPr>
        <w:t xml:space="preserve">minimum </w:t>
      </w:r>
      <w:r w:rsidR="007F4355">
        <w:rPr>
          <w:rFonts w:ascii="Times New Roman" w:hAnsi="Times New Roman" w:cs="Times New Roman"/>
          <w:b/>
          <w:bCs/>
          <w:sz w:val="22"/>
          <w:szCs w:val="22"/>
        </w:rPr>
        <w:t xml:space="preserve">cost incurred </w:t>
      </w:r>
      <w:r w:rsidR="007E7D6E" w:rsidRPr="003F7F29">
        <w:rPr>
          <w:rFonts w:ascii="Times New Roman" w:hAnsi="Times New Roman" w:cs="Times New Roman"/>
          <w:b/>
          <w:bCs/>
          <w:sz w:val="22"/>
          <w:szCs w:val="22"/>
        </w:rPr>
        <w:t>for</w:t>
      </w:r>
      <w:r w:rsidRPr="003F7F29">
        <w:rPr>
          <w:rFonts w:ascii="Times New Roman" w:hAnsi="Times New Roman" w:cs="Times New Roman"/>
          <w:b/>
          <w:bCs/>
          <w:sz w:val="22"/>
          <w:szCs w:val="22"/>
        </w:rPr>
        <w:t xml:space="preserve"> an </w:t>
      </w:r>
      <w:r w:rsidR="00063BF8" w:rsidRPr="003F7F29">
        <w:rPr>
          <w:rFonts w:ascii="Times New Roman" w:hAnsi="Times New Roman" w:cs="Times New Roman"/>
          <w:b/>
          <w:bCs/>
          <w:sz w:val="22"/>
          <w:szCs w:val="22"/>
        </w:rPr>
        <w:t xml:space="preserve">IIP </w:t>
      </w:r>
      <w:r w:rsidRPr="003F7F29">
        <w:rPr>
          <w:rFonts w:ascii="Times New Roman" w:hAnsi="Times New Roman" w:cs="Times New Roman"/>
          <w:b/>
          <w:bCs/>
          <w:sz w:val="22"/>
          <w:szCs w:val="22"/>
        </w:rPr>
        <w:t xml:space="preserve">application by a main applicant </w:t>
      </w:r>
      <w:r w:rsidR="007F4355" w:rsidRPr="003F7F29">
        <w:rPr>
          <w:rFonts w:ascii="Times New Roman" w:hAnsi="Times New Roman" w:cs="Times New Roman"/>
          <w:b/>
          <w:bCs/>
          <w:sz w:val="22"/>
          <w:szCs w:val="22"/>
        </w:rPr>
        <w:t>purchasing</w:t>
      </w:r>
      <w:r w:rsidR="00063BF8" w:rsidRPr="003F7F29">
        <w:rPr>
          <w:rFonts w:ascii="Times New Roman" w:hAnsi="Times New Roman" w:cs="Times New Roman"/>
          <w:b/>
          <w:bCs/>
          <w:sz w:val="22"/>
          <w:szCs w:val="22"/>
        </w:rPr>
        <w:t xml:space="preserve"> </w:t>
      </w:r>
      <w:r w:rsidRPr="003F7F29">
        <w:rPr>
          <w:rFonts w:ascii="Times New Roman" w:hAnsi="Times New Roman" w:cs="Times New Roman"/>
          <w:b/>
          <w:bCs/>
          <w:sz w:val="22"/>
          <w:szCs w:val="22"/>
        </w:rPr>
        <w:t>property</w:t>
      </w:r>
      <w:r w:rsidRPr="000A7EFA">
        <w:rPr>
          <w:rFonts w:ascii="Times New Roman" w:hAnsi="Times New Roman" w:cs="Times New Roman"/>
          <w:bCs/>
          <w:sz w:val="22"/>
          <w:szCs w:val="22"/>
        </w:rPr>
        <w:t xml:space="preserve"> in Malta and having no </w:t>
      </w:r>
      <w:proofErr w:type="spellStart"/>
      <w:r w:rsidRPr="000A7EFA">
        <w:rPr>
          <w:rFonts w:ascii="Times New Roman" w:hAnsi="Times New Roman" w:cs="Times New Roman"/>
          <w:bCs/>
          <w:sz w:val="22"/>
          <w:szCs w:val="22"/>
        </w:rPr>
        <w:t>dependants</w:t>
      </w:r>
      <w:proofErr w:type="spellEnd"/>
      <w:r w:rsidRPr="000A7EFA">
        <w:rPr>
          <w:rFonts w:ascii="Times New Roman" w:hAnsi="Times New Roman" w:cs="Times New Roman"/>
          <w:bCs/>
          <w:sz w:val="22"/>
          <w:szCs w:val="22"/>
        </w:rPr>
        <w:t xml:space="preserve"> would amount to EUR </w:t>
      </w:r>
      <w:r w:rsidR="007F4355" w:rsidRPr="007F4355">
        <w:rPr>
          <w:rFonts w:ascii="Times New Roman" w:hAnsi="Times New Roman" w:cs="Times New Roman"/>
          <w:bCs/>
          <w:sz w:val="22"/>
          <w:szCs w:val="22"/>
          <w:lang w:val="en-GB"/>
        </w:rPr>
        <w:t xml:space="preserve">1,158,200 </w:t>
      </w:r>
      <w:r w:rsidRPr="000A7EFA">
        <w:rPr>
          <w:rFonts w:ascii="Times New Roman" w:hAnsi="Times New Roman" w:cs="Times New Roman"/>
          <w:bCs/>
          <w:sz w:val="22"/>
          <w:szCs w:val="22"/>
        </w:rPr>
        <w:t xml:space="preserve">(EUR 650,000 (contribution) + EUR </w:t>
      </w:r>
      <w:r w:rsidR="007F4355">
        <w:rPr>
          <w:rFonts w:ascii="Times New Roman" w:hAnsi="Times New Roman" w:cs="Times New Roman"/>
          <w:bCs/>
          <w:sz w:val="22"/>
          <w:szCs w:val="22"/>
        </w:rPr>
        <w:t>350</w:t>
      </w:r>
      <w:r w:rsidRPr="000A7EFA">
        <w:rPr>
          <w:rFonts w:ascii="Times New Roman" w:hAnsi="Times New Roman" w:cs="Times New Roman"/>
          <w:bCs/>
          <w:sz w:val="22"/>
          <w:szCs w:val="22"/>
        </w:rPr>
        <w:t>,000 (property) + EUR 150,000 (investment) + EUR 7,500 (due diligence fees) + EUR 700 (passport fees and bank charges)</w:t>
      </w:r>
      <w:r w:rsidR="00DE4E0A" w:rsidRPr="000A7EFA">
        <w:rPr>
          <w:rFonts w:ascii="Times New Roman" w:hAnsi="Times New Roman" w:cs="Times New Roman"/>
          <w:bCs/>
          <w:sz w:val="22"/>
          <w:szCs w:val="22"/>
        </w:rPr>
        <w:t>)</w:t>
      </w:r>
      <w:r w:rsidRPr="000A7EFA">
        <w:rPr>
          <w:rFonts w:ascii="Times New Roman" w:hAnsi="Times New Roman" w:cs="Times New Roman"/>
          <w:bCs/>
          <w:sz w:val="22"/>
          <w:szCs w:val="22"/>
        </w:rPr>
        <w:t>.</w:t>
      </w:r>
      <w:r w:rsidR="006249BF" w:rsidRPr="000A7EFA">
        <w:rPr>
          <w:rFonts w:ascii="Times New Roman" w:hAnsi="Times New Roman" w:cs="Times New Roman"/>
          <w:bCs/>
          <w:sz w:val="22"/>
          <w:szCs w:val="22"/>
        </w:rPr>
        <w:t xml:space="preserve"> </w:t>
      </w:r>
      <w:r w:rsidR="007F4355">
        <w:rPr>
          <w:rFonts w:ascii="Times New Roman" w:hAnsi="Times New Roman" w:cs="Times New Roman"/>
          <w:bCs/>
          <w:sz w:val="22"/>
          <w:szCs w:val="22"/>
        </w:rPr>
        <w:t>Applicants</w:t>
      </w:r>
      <w:r w:rsidRPr="000A7EFA">
        <w:rPr>
          <w:rFonts w:ascii="Times New Roman" w:hAnsi="Times New Roman" w:cs="Times New Roman"/>
          <w:bCs/>
          <w:sz w:val="22"/>
          <w:szCs w:val="22"/>
        </w:rPr>
        <w:t xml:space="preserve"> must also pay the </w:t>
      </w:r>
      <w:r w:rsidR="00EC367D" w:rsidRPr="000A7EFA">
        <w:rPr>
          <w:rFonts w:ascii="Times New Roman" w:hAnsi="Times New Roman" w:cs="Times New Roman"/>
          <w:b/>
          <w:bCs/>
          <w:sz w:val="22"/>
          <w:szCs w:val="22"/>
        </w:rPr>
        <w:t>agent’s</w:t>
      </w:r>
      <w:r w:rsidRPr="000A7EFA">
        <w:rPr>
          <w:rFonts w:ascii="Times New Roman" w:hAnsi="Times New Roman" w:cs="Times New Roman"/>
          <w:b/>
          <w:bCs/>
          <w:sz w:val="22"/>
          <w:szCs w:val="22"/>
        </w:rPr>
        <w:t xml:space="preserve"> fees</w:t>
      </w:r>
      <w:r w:rsidR="00AB6836" w:rsidRPr="000A7EFA">
        <w:rPr>
          <w:rFonts w:ascii="Times New Roman" w:hAnsi="Times New Roman" w:cs="Times New Roman"/>
          <w:bCs/>
          <w:sz w:val="22"/>
          <w:szCs w:val="22"/>
        </w:rPr>
        <w:t xml:space="preserve"> as </w:t>
      </w:r>
      <w:r w:rsidR="007F4355">
        <w:rPr>
          <w:rFonts w:ascii="Times New Roman" w:hAnsi="Times New Roman" w:cs="Times New Roman"/>
          <w:bCs/>
          <w:sz w:val="22"/>
          <w:szCs w:val="22"/>
        </w:rPr>
        <w:t>per</w:t>
      </w:r>
      <w:r w:rsidRPr="000A7EFA">
        <w:rPr>
          <w:rFonts w:ascii="Times New Roman" w:hAnsi="Times New Roman" w:cs="Times New Roman"/>
          <w:bCs/>
          <w:sz w:val="22"/>
          <w:szCs w:val="22"/>
        </w:rPr>
        <w:t xml:space="preserve"> agreement between the agent and </w:t>
      </w:r>
      <w:r w:rsidR="00EC367D" w:rsidRPr="000A7EFA">
        <w:rPr>
          <w:rFonts w:ascii="Times New Roman" w:hAnsi="Times New Roman" w:cs="Times New Roman"/>
          <w:bCs/>
          <w:sz w:val="22"/>
          <w:szCs w:val="22"/>
        </w:rPr>
        <w:t>applicant</w:t>
      </w:r>
      <w:r w:rsidRPr="000A7EFA">
        <w:rPr>
          <w:rFonts w:ascii="Times New Roman" w:hAnsi="Times New Roman" w:cs="Times New Roman"/>
          <w:bCs/>
          <w:sz w:val="22"/>
          <w:szCs w:val="22"/>
        </w:rPr>
        <w:t>.</w:t>
      </w:r>
      <w:r w:rsidRPr="00396CA4">
        <w:rPr>
          <w:rFonts w:ascii="Times New Roman" w:hAnsi="Times New Roman" w:cs="Times New Roman"/>
          <w:bCs/>
          <w:sz w:val="22"/>
          <w:szCs w:val="22"/>
        </w:rPr>
        <w:t xml:space="preserve"> </w:t>
      </w:r>
    </w:p>
    <w:p w14:paraId="78D0D123" w14:textId="77777777" w:rsidR="00396CA4" w:rsidRPr="00396CA4" w:rsidRDefault="00396CA4" w:rsidP="00B83867">
      <w:pPr>
        <w:pStyle w:val="MBT"/>
        <w:spacing w:line="240" w:lineRule="exact"/>
      </w:pPr>
    </w:p>
    <w:p w14:paraId="7DF42937" w14:textId="57B89A82" w:rsidR="00396CA4" w:rsidRPr="00396CA4" w:rsidRDefault="00396CA4" w:rsidP="00B83867">
      <w:pPr>
        <w:pStyle w:val="MBT"/>
        <w:spacing w:line="240" w:lineRule="exact"/>
      </w:pPr>
      <w:r w:rsidRPr="00655D7F">
        <w:t xml:space="preserve">There are no legal definitions as to what qualitative criteria are used to assess an applicant’s </w:t>
      </w:r>
      <w:r w:rsidRPr="00655D7F">
        <w:rPr>
          <w:b/>
        </w:rPr>
        <w:t>‘genuine link’</w:t>
      </w:r>
      <w:r w:rsidRPr="00655D7F">
        <w:t xml:space="preserve"> with Malta and </w:t>
      </w:r>
      <w:r w:rsidR="00EC367D" w:rsidRPr="00655D7F">
        <w:t xml:space="preserve">there is </w:t>
      </w:r>
      <w:r w:rsidR="00A17339" w:rsidRPr="00655D7F">
        <w:t>no</w:t>
      </w:r>
      <w:r w:rsidRPr="00655D7F">
        <w:t xml:space="preserve"> r</w:t>
      </w:r>
      <w:r w:rsidR="00A17339" w:rsidRPr="00655D7F">
        <w:t>equirement for a ‘genuine link’</w:t>
      </w:r>
      <w:r w:rsidRPr="00655D7F">
        <w:t xml:space="preserve"> in the Maltese legislation.</w:t>
      </w:r>
      <w:r w:rsidRPr="00396CA4">
        <w:t xml:space="preserve"> </w:t>
      </w:r>
      <w:r w:rsidR="009E0CAD">
        <w:t>Similarly, there are no language or integration requirements.</w:t>
      </w:r>
    </w:p>
    <w:p w14:paraId="1ADE2CC7" w14:textId="77777777" w:rsidR="00396CA4" w:rsidRDefault="00396CA4" w:rsidP="00B83867">
      <w:pPr>
        <w:pStyle w:val="MBT"/>
        <w:spacing w:line="240" w:lineRule="exact"/>
      </w:pPr>
    </w:p>
    <w:p w14:paraId="58688344" w14:textId="230BE932" w:rsidR="00A17339" w:rsidRDefault="007F0A4C" w:rsidP="00B83867">
      <w:pPr>
        <w:pStyle w:val="MBT"/>
        <w:spacing w:line="240" w:lineRule="exact"/>
      </w:pPr>
      <w:r>
        <w:rPr>
          <w:b/>
        </w:rPr>
        <w:t>IIP a</w:t>
      </w:r>
      <w:r w:rsidRPr="0044090D">
        <w:rPr>
          <w:b/>
        </w:rPr>
        <w:t xml:space="preserve">pplications may be turned down </w:t>
      </w:r>
      <w:r w:rsidRPr="0044090D">
        <w:t xml:space="preserve">if </w:t>
      </w:r>
      <w:r>
        <w:t xml:space="preserve">they are formally incomplete or if </w:t>
      </w:r>
      <w:r w:rsidRPr="0044090D">
        <w:t xml:space="preserve">the applicant makes a false </w:t>
      </w:r>
      <w:r>
        <w:t xml:space="preserve">statement or omits information or on the basis of a negative outcome of the </w:t>
      </w:r>
      <w:r w:rsidR="00DE3DE6">
        <w:rPr>
          <w:b/>
        </w:rPr>
        <w:t>checks</w:t>
      </w:r>
      <w:r w:rsidR="003F7F29">
        <w:rPr>
          <w:b/>
        </w:rPr>
        <w:t xml:space="preserve"> </w:t>
      </w:r>
      <w:r w:rsidR="00DB56BF" w:rsidRPr="009E0CAD">
        <w:t>referred to by</w:t>
      </w:r>
      <w:r w:rsidR="003F7F29">
        <w:t xml:space="preserve"> LN 47/2014 and the</w:t>
      </w:r>
      <w:r w:rsidR="00DB56BF" w:rsidRPr="009E0CAD">
        <w:t xml:space="preserve"> Maltese authorities as</w:t>
      </w:r>
      <w:r w:rsidR="003F7F29">
        <w:t xml:space="preserve"> </w:t>
      </w:r>
      <w:r w:rsidR="00DB56BF" w:rsidRPr="009E0CAD">
        <w:t>due diligence processes</w:t>
      </w:r>
      <w:r>
        <w:t>. These consist of</w:t>
      </w:r>
      <w:r w:rsidR="00DE3DE6">
        <w:t xml:space="preserve"> background checks, </w:t>
      </w:r>
      <w:r w:rsidR="00DE3DE6" w:rsidRPr="00E56548">
        <w:rPr>
          <w:b/>
        </w:rPr>
        <w:t>criminal conduct checks</w:t>
      </w:r>
      <w:r w:rsidR="00DE3DE6">
        <w:t xml:space="preserve"> through national and </w:t>
      </w:r>
      <w:r w:rsidR="00E56548">
        <w:t xml:space="preserve">international databases </w:t>
      </w:r>
      <w:r w:rsidR="003A70D3">
        <w:t>such as</w:t>
      </w:r>
      <w:r w:rsidR="00E56548">
        <w:t xml:space="preserve"> INTERP</w:t>
      </w:r>
      <w:r w:rsidR="003A70D3">
        <w:t>OL and EUROPOL and</w:t>
      </w:r>
      <w:r w:rsidR="00E56548">
        <w:t xml:space="preserve"> verification that the applicant is not a threat to national security, public policy or public health.</w:t>
      </w:r>
      <w:r w:rsidR="00DE3DE6">
        <w:t xml:space="preserve"> </w:t>
      </w:r>
      <w:r w:rsidR="00E56548">
        <w:t xml:space="preserve">The provisions of the Anti-Money Laundering Directive </w:t>
      </w:r>
      <w:r w:rsidR="00A2505B">
        <w:t xml:space="preserve">are applied </w:t>
      </w:r>
      <w:r w:rsidR="00E66846">
        <w:t>to the verification of</w:t>
      </w:r>
      <w:r w:rsidR="00E56548">
        <w:t xml:space="preserve"> the </w:t>
      </w:r>
      <w:r w:rsidR="00E56548" w:rsidRPr="00E56548">
        <w:rPr>
          <w:b/>
        </w:rPr>
        <w:t>source of funds</w:t>
      </w:r>
      <w:r w:rsidR="00E56548">
        <w:t xml:space="preserve"> for the contribution which is paid </w:t>
      </w:r>
      <w:r w:rsidR="00EC367D">
        <w:t xml:space="preserve">directly </w:t>
      </w:r>
      <w:r w:rsidR="00E56548">
        <w:t xml:space="preserve">into Identity Malta’s account. Information on the source of wealth is verified through the applicant and two </w:t>
      </w:r>
      <w:r w:rsidR="003F7F29">
        <w:t xml:space="preserve">third party </w:t>
      </w:r>
      <w:r w:rsidR="00E56548">
        <w:t>service providers.</w:t>
      </w:r>
      <w:r w:rsidR="00DE4E0A" w:rsidRPr="00396CA4">
        <w:rPr>
          <w:vertAlign w:val="superscript"/>
        </w:rPr>
        <w:footnoteReference w:id="19"/>
      </w:r>
      <w:r w:rsidR="00F23860">
        <w:t xml:space="preserve"> </w:t>
      </w:r>
      <w:r w:rsidR="00F23860">
        <w:rPr>
          <w:lang w:val="en-GB"/>
        </w:rPr>
        <w:t>T</w:t>
      </w:r>
      <w:r w:rsidR="00F23860" w:rsidRPr="00F23860">
        <w:rPr>
          <w:lang w:val="en-GB"/>
        </w:rPr>
        <w:t>he non-public bodies involved in the acquisition of stocks and of immovable property are obliged entities under the Anti-Money Laundering Directive and are therefore</w:t>
      </w:r>
      <w:r w:rsidR="00F23860">
        <w:rPr>
          <w:lang w:val="en-GB"/>
        </w:rPr>
        <w:t xml:space="preserve"> </w:t>
      </w:r>
      <w:r w:rsidR="00F23860" w:rsidRPr="00F23860">
        <w:rPr>
          <w:lang w:val="en-GB"/>
        </w:rPr>
        <w:t>bound by its requirements</w:t>
      </w:r>
      <w:r w:rsidR="00F23860">
        <w:rPr>
          <w:lang w:val="en-GB"/>
        </w:rPr>
        <w:t>.</w:t>
      </w:r>
      <w:r w:rsidR="004C5A54">
        <w:rPr>
          <w:lang w:val="en-GB"/>
        </w:rPr>
        <w:t xml:space="preserve">  </w:t>
      </w:r>
    </w:p>
    <w:p w14:paraId="3C80B1A7" w14:textId="77777777" w:rsidR="006249BF" w:rsidRDefault="006249BF" w:rsidP="00B83867">
      <w:pPr>
        <w:spacing w:line="240" w:lineRule="exact"/>
        <w:jc w:val="both"/>
        <w:outlineLvl w:val="0"/>
        <w:rPr>
          <w:b/>
          <w:i/>
          <w:color w:val="FF0000"/>
          <w:sz w:val="22"/>
          <w:szCs w:val="22"/>
        </w:rPr>
      </w:pPr>
    </w:p>
    <w:p w14:paraId="302C275D" w14:textId="2C08E861" w:rsidR="006249BF" w:rsidRDefault="006249BF" w:rsidP="00B83867">
      <w:pPr>
        <w:pStyle w:val="MBT"/>
        <w:spacing w:line="240" w:lineRule="exact"/>
        <w:rPr>
          <w:lang w:val="en-GB"/>
        </w:rPr>
      </w:pPr>
      <w:r>
        <w:rPr>
          <w:lang w:val="en-GB"/>
        </w:rPr>
        <w:t>The</w:t>
      </w:r>
      <w:r w:rsidRPr="0044090D">
        <w:rPr>
          <w:lang w:val="en-GB"/>
        </w:rPr>
        <w:t xml:space="preserve"> </w:t>
      </w:r>
      <w:r w:rsidR="00EC3944" w:rsidRPr="00DE4E0A">
        <w:rPr>
          <w:b/>
          <w:lang w:val="en-GB"/>
        </w:rPr>
        <w:t xml:space="preserve">IIP </w:t>
      </w:r>
      <w:r w:rsidRPr="00DE4E0A">
        <w:rPr>
          <w:b/>
          <w:lang w:val="en-GB"/>
        </w:rPr>
        <w:t xml:space="preserve">Regulator </w:t>
      </w:r>
      <w:r w:rsidR="00F23860">
        <w:rPr>
          <w:b/>
          <w:lang w:val="en-GB"/>
        </w:rPr>
        <w:t>(</w:t>
      </w:r>
      <w:proofErr w:type="spellStart"/>
      <w:r w:rsidR="00F23860">
        <w:rPr>
          <w:b/>
          <w:lang w:val="en-GB"/>
        </w:rPr>
        <w:t>ORiip</w:t>
      </w:r>
      <w:proofErr w:type="spellEnd"/>
      <w:r w:rsidR="00DE4E0A" w:rsidRPr="00DE4E0A">
        <w:rPr>
          <w:b/>
          <w:lang w:val="en-GB"/>
        </w:rPr>
        <w:t>)</w:t>
      </w:r>
      <w:r w:rsidR="00DE4E0A">
        <w:rPr>
          <w:lang w:val="en-GB"/>
        </w:rPr>
        <w:t xml:space="preserve"> </w:t>
      </w:r>
      <w:r w:rsidR="00F7673C">
        <w:rPr>
          <w:b/>
          <w:lang w:val="en-GB"/>
        </w:rPr>
        <w:t>review</w:t>
      </w:r>
      <w:r w:rsidR="00DE4E0A">
        <w:rPr>
          <w:b/>
          <w:lang w:val="en-GB"/>
        </w:rPr>
        <w:t>s</w:t>
      </w:r>
      <w:r>
        <w:rPr>
          <w:b/>
          <w:lang w:val="en-GB"/>
        </w:rPr>
        <w:t xml:space="preserve"> all aspects of </w:t>
      </w:r>
      <w:r w:rsidRPr="00D469E5">
        <w:rPr>
          <w:b/>
          <w:lang w:val="en-GB"/>
        </w:rPr>
        <w:t>the IIP</w:t>
      </w:r>
      <w:r>
        <w:rPr>
          <w:lang w:val="en-GB"/>
        </w:rPr>
        <w:t xml:space="preserve"> and annually </w:t>
      </w:r>
      <w:r w:rsidRPr="0044090D">
        <w:rPr>
          <w:lang w:val="en-GB"/>
        </w:rPr>
        <w:t>report</w:t>
      </w:r>
      <w:r w:rsidR="007F4355">
        <w:rPr>
          <w:lang w:val="en-GB"/>
        </w:rPr>
        <w:t>s</w:t>
      </w:r>
      <w:r w:rsidRPr="0044090D">
        <w:rPr>
          <w:lang w:val="en-GB"/>
        </w:rPr>
        <w:t xml:space="preserve"> on his functions to the Minister</w:t>
      </w:r>
      <w:r>
        <w:rPr>
          <w:lang w:val="en-GB"/>
        </w:rPr>
        <w:t>.</w:t>
      </w:r>
      <w:r w:rsidR="00EC3944" w:rsidRPr="0044090D">
        <w:rPr>
          <w:lang w:val="en-GB"/>
        </w:rPr>
        <w:t xml:space="preserve"> </w:t>
      </w:r>
      <w:r w:rsidR="00686B0D" w:rsidRPr="0044090D">
        <w:rPr>
          <w:lang w:val="en-GB"/>
        </w:rPr>
        <w:t>Th</w:t>
      </w:r>
      <w:r w:rsidR="00686B0D">
        <w:rPr>
          <w:lang w:val="en-GB"/>
        </w:rPr>
        <w:t xml:space="preserve">ese </w:t>
      </w:r>
      <w:r w:rsidRPr="0044090D">
        <w:rPr>
          <w:lang w:val="en-GB"/>
        </w:rPr>
        <w:t>report</w:t>
      </w:r>
      <w:r w:rsidR="00686B0D">
        <w:rPr>
          <w:lang w:val="en-GB"/>
        </w:rPr>
        <w:t xml:space="preserve">s are </w:t>
      </w:r>
      <w:r w:rsidR="003F7F29">
        <w:rPr>
          <w:lang w:val="en-GB"/>
        </w:rPr>
        <w:t xml:space="preserve">public </w:t>
      </w:r>
      <w:r w:rsidR="00686B0D">
        <w:rPr>
          <w:lang w:val="en-GB"/>
        </w:rPr>
        <w:t xml:space="preserve">and </w:t>
      </w:r>
      <w:r w:rsidRPr="0044090D">
        <w:rPr>
          <w:lang w:val="en-GB"/>
        </w:rPr>
        <w:t>subject to parliamentary scrutiny</w:t>
      </w:r>
      <w:r w:rsidRPr="00655D7F">
        <w:rPr>
          <w:lang w:val="en-GB"/>
        </w:rPr>
        <w:t>.</w:t>
      </w:r>
      <w:r w:rsidRPr="00655D7F">
        <w:rPr>
          <w:rStyle w:val="FootnoteReference"/>
          <w:lang w:val="en-GB"/>
        </w:rPr>
        <w:footnoteReference w:id="20"/>
      </w:r>
      <w:r w:rsidR="00EC3944" w:rsidRPr="00655D7F">
        <w:rPr>
          <w:lang w:val="en-GB"/>
        </w:rPr>
        <w:t xml:space="preserve"> </w:t>
      </w:r>
      <w:r w:rsidRPr="00655D7F">
        <w:rPr>
          <w:lang w:val="en-GB"/>
        </w:rPr>
        <w:t xml:space="preserve">The Regulator must also investigate </w:t>
      </w:r>
      <w:r w:rsidRPr="007F4355">
        <w:rPr>
          <w:b/>
          <w:lang w:val="en-GB"/>
        </w:rPr>
        <w:t>complaints about the IIP</w:t>
      </w:r>
      <w:r w:rsidRPr="007F4355">
        <w:rPr>
          <w:lang w:val="en-GB"/>
        </w:rPr>
        <w:t xml:space="preserve"> but a legal instrument prescribing the formalities for complaints has not yet been adopted. A Monitoring Committee</w:t>
      </w:r>
      <w:r w:rsidRPr="00655D7F">
        <w:rPr>
          <w:rStyle w:val="FootnoteReference"/>
          <w:lang w:val="en-GB"/>
        </w:rPr>
        <w:footnoteReference w:id="21"/>
      </w:r>
      <w:r w:rsidRPr="00655D7F">
        <w:rPr>
          <w:lang w:val="en-GB"/>
        </w:rPr>
        <w:t xml:space="preserve"> consisting of the Prime Minister, Minister and Leader of the Opposition, monitors </w:t>
      </w:r>
      <w:r w:rsidR="00EC3944" w:rsidRPr="00655D7F">
        <w:rPr>
          <w:lang w:val="en-GB"/>
        </w:rPr>
        <w:t>the</w:t>
      </w:r>
      <w:r w:rsidRPr="00655D7F">
        <w:rPr>
          <w:lang w:val="en-GB"/>
        </w:rPr>
        <w:t xml:space="preserve"> IIP and can ask the Regulator to report at its meetings. </w:t>
      </w:r>
    </w:p>
    <w:p w14:paraId="28EEF081" w14:textId="77777777" w:rsidR="00505518" w:rsidRDefault="00505518" w:rsidP="00B83867">
      <w:pPr>
        <w:pStyle w:val="MBT"/>
        <w:spacing w:line="240" w:lineRule="exact"/>
        <w:rPr>
          <w:lang w:val="en-GB"/>
        </w:rPr>
      </w:pPr>
    </w:p>
    <w:p w14:paraId="718D56E8" w14:textId="77777777" w:rsidR="00505518" w:rsidRDefault="00505518" w:rsidP="00B83867">
      <w:pPr>
        <w:pStyle w:val="MBT"/>
        <w:spacing w:line="240" w:lineRule="exact"/>
        <w:rPr>
          <w:b/>
          <w:i/>
          <w:lang w:val="en-GB"/>
        </w:rPr>
      </w:pPr>
      <w:r>
        <w:rPr>
          <w:lang w:val="en-GB"/>
        </w:rPr>
        <w:t xml:space="preserve"> </w:t>
      </w:r>
      <w:r>
        <w:rPr>
          <w:b/>
          <w:i/>
          <w:lang w:val="en-GB"/>
        </w:rPr>
        <w:t>Investors’ Residence Schemes</w:t>
      </w:r>
    </w:p>
    <w:p w14:paraId="564BFE83" w14:textId="77777777" w:rsidR="00505518" w:rsidRDefault="00505518" w:rsidP="00B83867">
      <w:pPr>
        <w:pStyle w:val="MBT"/>
        <w:spacing w:line="240" w:lineRule="exact"/>
        <w:rPr>
          <w:b/>
          <w:i/>
          <w:lang w:val="en-GB"/>
        </w:rPr>
      </w:pPr>
    </w:p>
    <w:p w14:paraId="3C6FC7B9" w14:textId="6CC7A275" w:rsidR="00505518" w:rsidRPr="009D35DC" w:rsidRDefault="00AE52A3" w:rsidP="00B83867">
      <w:pPr>
        <w:pStyle w:val="MBT"/>
        <w:spacing w:line="240" w:lineRule="exact"/>
        <w:rPr>
          <w:lang w:val="en-GB"/>
        </w:rPr>
      </w:pPr>
      <w:r>
        <w:rPr>
          <w:b/>
        </w:rPr>
        <w:t>MRVP is open to t</w:t>
      </w:r>
      <w:r w:rsidR="00505518" w:rsidRPr="00EC3944">
        <w:rPr>
          <w:b/>
        </w:rPr>
        <w:t xml:space="preserve">hird-country nationals meeting the </w:t>
      </w:r>
      <w:proofErr w:type="spellStart"/>
      <w:r>
        <w:rPr>
          <w:b/>
        </w:rPr>
        <w:t>programme’s</w:t>
      </w:r>
      <w:proofErr w:type="spellEnd"/>
      <w:r w:rsidRPr="00EC3944">
        <w:rPr>
          <w:b/>
        </w:rPr>
        <w:t xml:space="preserve"> </w:t>
      </w:r>
      <w:r w:rsidR="00505518" w:rsidRPr="00EC3944">
        <w:rPr>
          <w:b/>
          <w:bCs w:val="0"/>
        </w:rPr>
        <w:t xml:space="preserve">eligibility </w:t>
      </w:r>
      <w:r w:rsidR="00505518" w:rsidRPr="00EC3944">
        <w:rPr>
          <w:b/>
        </w:rPr>
        <w:t>requirements</w:t>
      </w:r>
      <w:r w:rsidR="00505518">
        <w:t xml:space="preserve">. </w:t>
      </w:r>
      <w:r w:rsidR="00D87C77">
        <w:t xml:space="preserve">There is </w:t>
      </w:r>
      <w:r w:rsidR="00D87C77" w:rsidRPr="00E66846">
        <w:rPr>
          <w:b/>
        </w:rPr>
        <w:t>no cap</w:t>
      </w:r>
      <w:r w:rsidR="00D87C77">
        <w:t xml:space="preserve"> on the number of applicants. </w:t>
      </w:r>
      <w:r w:rsidR="00E66846" w:rsidRPr="00E66846">
        <w:rPr>
          <w:b/>
          <w:lang w:val="en-GB"/>
        </w:rPr>
        <w:t>Main</w:t>
      </w:r>
      <w:r w:rsidR="00505518" w:rsidRPr="00E66846">
        <w:rPr>
          <w:b/>
          <w:lang w:val="en-GB"/>
        </w:rPr>
        <w:t xml:space="preserve"> applicant</w:t>
      </w:r>
      <w:r w:rsidR="00E66846" w:rsidRPr="00E66846">
        <w:rPr>
          <w:b/>
          <w:lang w:val="en-GB"/>
        </w:rPr>
        <w:t>s</w:t>
      </w:r>
      <w:r w:rsidR="00505518">
        <w:rPr>
          <w:lang w:val="en-GB"/>
        </w:rPr>
        <w:t xml:space="preserve"> must b</w:t>
      </w:r>
      <w:r w:rsidR="00505518" w:rsidRPr="0044090D">
        <w:rPr>
          <w:lang w:val="en-GB"/>
        </w:rPr>
        <w:t>e at least 18 years of age;</w:t>
      </w:r>
      <w:r w:rsidR="00505518">
        <w:rPr>
          <w:lang w:val="en-GB"/>
        </w:rPr>
        <w:t xml:space="preserve"> commit </w:t>
      </w:r>
      <w:r w:rsidR="00505518" w:rsidRPr="0044090D">
        <w:rPr>
          <w:lang w:val="en-GB"/>
        </w:rPr>
        <w:t xml:space="preserve">to provide proof of </w:t>
      </w:r>
      <w:r w:rsidR="00732ED3">
        <w:rPr>
          <w:lang w:val="en-GB"/>
        </w:rPr>
        <w:t xml:space="preserve">title to qualifying property </w:t>
      </w:r>
      <w:r w:rsidR="00505518" w:rsidRPr="0044090D">
        <w:rPr>
          <w:lang w:val="en-GB"/>
        </w:rPr>
        <w:t>in Malta</w:t>
      </w:r>
      <w:r w:rsidR="00732ED3">
        <w:rPr>
          <w:lang w:val="en-GB"/>
        </w:rPr>
        <w:t>;</w:t>
      </w:r>
      <w:r w:rsidR="00505518" w:rsidRPr="0044090D">
        <w:rPr>
          <w:lang w:val="en-GB"/>
        </w:rPr>
        <w:t xml:space="preserve"> </w:t>
      </w:r>
      <w:r w:rsidR="00732ED3" w:rsidRPr="00FA2712">
        <w:rPr>
          <w:lang w:val="en-GB"/>
        </w:rPr>
        <w:t>invest in a qualifying investment;</w:t>
      </w:r>
      <w:r w:rsidR="00732ED3">
        <w:rPr>
          <w:lang w:val="en-GB"/>
        </w:rPr>
        <w:t xml:space="preserve"> pay in full the contribution.</w:t>
      </w:r>
      <w:r w:rsidR="00732ED3">
        <w:rPr>
          <w:rStyle w:val="FootnoteReference"/>
          <w:lang w:val="en-GB"/>
        </w:rPr>
        <w:footnoteReference w:id="22"/>
      </w:r>
      <w:r w:rsidR="00DE4E0A">
        <w:rPr>
          <w:lang w:val="en-GB"/>
        </w:rPr>
        <w:t xml:space="preserve"> </w:t>
      </w:r>
      <w:r w:rsidR="007E7D6E">
        <w:rPr>
          <w:b/>
          <w:lang w:val="en-GB"/>
        </w:rPr>
        <w:t xml:space="preserve">Dependants </w:t>
      </w:r>
      <w:r w:rsidR="00EC3944">
        <w:t xml:space="preserve">that </w:t>
      </w:r>
      <w:r w:rsidR="00505518">
        <w:t>can be included in the application</w:t>
      </w:r>
      <w:r w:rsidR="00B72CEE">
        <w:t xml:space="preserve"> are</w:t>
      </w:r>
      <w:r w:rsidR="00505518">
        <w:t xml:space="preserve"> the main applicant’s </w:t>
      </w:r>
      <w:r w:rsidR="00EC3944">
        <w:t>spouse/</w:t>
      </w:r>
      <w:r w:rsidR="00505518">
        <w:t>partner;</w:t>
      </w:r>
      <w:r w:rsidR="00505518">
        <w:rPr>
          <w:lang w:val="en-GB"/>
        </w:rPr>
        <w:t xml:space="preserve"> c</w:t>
      </w:r>
      <w:r w:rsidR="00505518" w:rsidRPr="0044090D">
        <w:rPr>
          <w:lang w:val="en-GB"/>
        </w:rPr>
        <w:t>hildren under 18 years of age;</w:t>
      </w:r>
      <w:r w:rsidR="00505518">
        <w:rPr>
          <w:lang w:val="en-GB"/>
        </w:rPr>
        <w:t xml:space="preserve"> u</w:t>
      </w:r>
      <w:r w:rsidR="00505518" w:rsidRPr="0044090D">
        <w:rPr>
          <w:lang w:val="en-GB"/>
        </w:rPr>
        <w:t xml:space="preserve">nmarried children </w:t>
      </w:r>
      <w:r w:rsidR="00732ED3">
        <w:rPr>
          <w:lang w:val="en-GB"/>
        </w:rPr>
        <w:t>over 18</w:t>
      </w:r>
      <w:r w:rsidR="00505518" w:rsidRPr="0044090D">
        <w:rPr>
          <w:lang w:val="en-GB"/>
        </w:rPr>
        <w:t xml:space="preserve"> years of age</w:t>
      </w:r>
      <w:r w:rsidR="00732ED3">
        <w:rPr>
          <w:lang w:val="en-GB"/>
        </w:rPr>
        <w:t xml:space="preserve"> and parents or grandparents</w:t>
      </w:r>
      <w:r w:rsidR="00505518" w:rsidRPr="0044090D">
        <w:rPr>
          <w:lang w:val="en-GB"/>
        </w:rPr>
        <w:t xml:space="preserve"> </w:t>
      </w:r>
      <w:r w:rsidR="00505518">
        <w:rPr>
          <w:lang w:val="en-GB"/>
        </w:rPr>
        <w:t>who</w:t>
      </w:r>
      <w:r w:rsidR="00505518" w:rsidRPr="0044090D">
        <w:rPr>
          <w:lang w:val="en-GB"/>
        </w:rPr>
        <w:t xml:space="preserve"> are </w:t>
      </w:r>
      <w:r w:rsidR="00732ED3">
        <w:rPr>
          <w:lang w:val="en-GB"/>
        </w:rPr>
        <w:t>not economically active and are principally dependant on the main applicant</w:t>
      </w:r>
      <w:r w:rsidR="00505518" w:rsidRPr="0044090D">
        <w:rPr>
          <w:lang w:val="en-GB"/>
        </w:rPr>
        <w:t>;</w:t>
      </w:r>
      <w:r w:rsidR="00505518">
        <w:rPr>
          <w:lang w:val="en-GB"/>
        </w:rPr>
        <w:t xml:space="preserve"> </w:t>
      </w:r>
      <w:r w:rsidR="00732ED3">
        <w:rPr>
          <w:lang w:val="en-GB"/>
        </w:rPr>
        <w:t xml:space="preserve">adult children </w:t>
      </w:r>
      <w:r w:rsidR="00AC7DB1">
        <w:rPr>
          <w:lang w:val="en-GB"/>
        </w:rPr>
        <w:t>with</w:t>
      </w:r>
      <w:r w:rsidR="00732ED3">
        <w:rPr>
          <w:lang w:val="en-GB"/>
        </w:rPr>
        <w:t xml:space="preserve"> a </w:t>
      </w:r>
      <w:r w:rsidR="00732ED3" w:rsidRPr="00E25560">
        <w:rPr>
          <w:lang w:val="en-GB"/>
        </w:rPr>
        <w:t>disability.</w:t>
      </w:r>
      <w:r w:rsidR="006173B2" w:rsidRPr="00E25560">
        <w:rPr>
          <w:lang w:val="en-GB"/>
        </w:rPr>
        <w:t xml:space="preserve"> </w:t>
      </w:r>
      <w:proofErr w:type="spellStart"/>
      <w:r w:rsidR="006173B2" w:rsidRPr="00E25560">
        <w:t>Dependants</w:t>
      </w:r>
      <w:proofErr w:type="spellEnd"/>
      <w:r w:rsidR="006173B2" w:rsidRPr="00E25560">
        <w:t xml:space="preserve"> must meet the eligibility criteria but </w:t>
      </w:r>
      <w:r w:rsidR="006173B2" w:rsidRPr="00E25560">
        <w:rPr>
          <w:b/>
        </w:rPr>
        <w:t>no separate investment is required</w:t>
      </w:r>
      <w:r w:rsidR="00AC7DB1">
        <w:rPr>
          <w:b/>
        </w:rPr>
        <w:t xml:space="preserve">. </w:t>
      </w:r>
      <w:r w:rsidR="00AC7DB1">
        <w:t xml:space="preserve">The </w:t>
      </w:r>
      <w:r w:rsidR="00AC7DB1">
        <w:rPr>
          <w:b/>
        </w:rPr>
        <w:t xml:space="preserve">required </w:t>
      </w:r>
      <w:r w:rsidR="006173B2" w:rsidRPr="00E25560">
        <w:rPr>
          <w:b/>
        </w:rPr>
        <w:t>contribution is lower</w:t>
      </w:r>
      <w:r w:rsidR="006173B2" w:rsidRPr="00E25560">
        <w:t xml:space="preserve"> than that </w:t>
      </w:r>
      <w:r w:rsidR="00AC7DB1">
        <w:t>of</w:t>
      </w:r>
      <w:r w:rsidR="006173B2" w:rsidRPr="00E25560">
        <w:t xml:space="preserve"> the main applicant and </w:t>
      </w:r>
      <w:r w:rsidR="006173B2" w:rsidRPr="00E25560">
        <w:rPr>
          <w:b/>
        </w:rPr>
        <w:t>applies only in the case of parents and grandparents</w:t>
      </w:r>
      <w:r w:rsidR="006173B2" w:rsidRPr="00E25560">
        <w:t>.</w:t>
      </w:r>
      <w:r w:rsidR="006173B2" w:rsidRPr="0044090D">
        <w:t xml:space="preserve"> </w:t>
      </w:r>
    </w:p>
    <w:p w14:paraId="274DDFC5" w14:textId="77777777" w:rsidR="00505518" w:rsidRDefault="00505518" w:rsidP="00B83867">
      <w:pPr>
        <w:pStyle w:val="MMultilevel"/>
        <w:numPr>
          <w:ilvl w:val="0"/>
          <w:numId w:val="0"/>
        </w:numPr>
        <w:spacing w:line="240" w:lineRule="exact"/>
      </w:pPr>
    </w:p>
    <w:p w14:paraId="0A2EDDB3" w14:textId="41B05ECF" w:rsidR="00822C77" w:rsidRDefault="006D595F" w:rsidP="00B83867">
      <w:pPr>
        <w:pStyle w:val="MBT"/>
        <w:spacing w:line="240" w:lineRule="exact"/>
      </w:pPr>
      <w:r>
        <w:t xml:space="preserve">MRVP </w:t>
      </w:r>
      <w:r w:rsidRPr="00EC3944">
        <w:rPr>
          <w:b/>
        </w:rPr>
        <w:t>applications are submitted</w:t>
      </w:r>
      <w:r>
        <w:t xml:space="preserve"> </w:t>
      </w:r>
      <w:r w:rsidRPr="007E7D6E">
        <w:rPr>
          <w:b/>
        </w:rPr>
        <w:t>to the MRVA through agents</w:t>
      </w:r>
      <w:r>
        <w:t xml:space="preserve"> and must be </w:t>
      </w:r>
      <w:r w:rsidRPr="00EC3944">
        <w:t xml:space="preserve">accompanied by a </w:t>
      </w:r>
      <w:r w:rsidRPr="00EC3944">
        <w:rPr>
          <w:lang w:val="en-GB"/>
        </w:rPr>
        <w:t xml:space="preserve">non-refundable administrative fee of EUR 5,500 </w:t>
      </w:r>
      <w:r w:rsidR="00CB32C2">
        <w:rPr>
          <w:lang w:val="en-GB"/>
        </w:rPr>
        <w:t xml:space="preserve">(plus </w:t>
      </w:r>
      <w:r w:rsidR="00CB32C2" w:rsidRPr="00CB32C2">
        <w:rPr>
          <w:lang w:val="en-GB"/>
        </w:rPr>
        <w:t>EUR 5,000 per dependant</w:t>
      </w:r>
      <w:r w:rsidR="00CB32C2">
        <w:rPr>
          <w:b/>
          <w:lang w:val="en-GB"/>
        </w:rPr>
        <w:t xml:space="preserve">) </w:t>
      </w:r>
      <w:r w:rsidRPr="00EC3944">
        <w:rPr>
          <w:lang w:val="en-GB"/>
        </w:rPr>
        <w:t>and</w:t>
      </w:r>
      <w:r w:rsidR="00D45FA3">
        <w:rPr>
          <w:lang w:val="en-GB"/>
        </w:rPr>
        <w:t xml:space="preserve"> the following</w:t>
      </w:r>
      <w:r w:rsidRPr="00EC3944">
        <w:rPr>
          <w:lang w:val="en-GB"/>
        </w:rPr>
        <w:t xml:space="preserve"> </w:t>
      </w:r>
      <w:r w:rsidR="00EC3944">
        <w:rPr>
          <w:lang w:val="en-GB"/>
        </w:rPr>
        <w:t>supporting</w:t>
      </w:r>
      <w:r>
        <w:rPr>
          <w:lang w:val="en-GB"/>
        </w:rPr>
        <w:t xml:space="preserve"> documents</w:t>
      </w:r>
      <w:r w:rsidR="00D45FA3">
        <w:rPr>
          <w:lang w:val="en-GB"/>
        </w:rPr>
        <w:t>:</w:t>
      </w:r>
      <w:r>
        <w:rPr>
          <w:lang w:val="en-GB"/>
        </w:rPr>
        <w:t xml:space="preserve"> </w:t>
      </w:r>
      <w:r w:rsidR="007E7D6E">
        <w:rPr>
          <w:lang w:val="en-GB"/>
        </w:rPr>
        <w:t xml:space="preserve">police certificates; </w:t>
      </w:r>
      <w:r w:rsidR="00AC7DB1">
        <w:rPr>
          <w:lang w:val="en-GB"/>
        </w:rPr>
        <w:t>a preliminary due diligence carried</w:t>
      </w:r>
      <w:r w:rsidRPr="00CB1D66">
        <w:rPr>
          <w:lang w:val="en-GB"/>
        </w:rPr>
        <w:t xml:space="preserve"> out by the agent </w:t>
      </w:r>
      <w:r w:rsidR="00AC7DB1">
        <w:rPr>
          <w:lang w:val="en-GB"/>
        </w:rPr>
        <w:t xml:space="preserve">attesting </w:t>
      </w:r>
      <w:r w:rsidRPr="00CB1D66">
        <w:rPr>
          <w:lang w:val="en-GB"/>
        </w:rPr>
        <w:t xml:space="preserve">that there is no </w:t>
      </w:r>
      <w:r w:rsidRPr="00CB1D66">
        <w:rPr>
          <w:i/>
          <w:lang w:val="en-GB"/>
        </w:rPr>
        <w:t>a priori</w:t>
      </w:r>
      <w:r w:rsidRPr="00CB1D66">
        <w:rPr>
          <w:lang w:val="en-GB"/>
        </w:rPr>
        <w:t xml:space="preserve"> evidence that the main applicant and dependants</w:t>
      </w:r>
      <w:r>
        <w:rPr>
          <w:lang w:val="en-GB"/>
        </w:rPr>
        <w:t xml:space="preserve"> are not fit and proper persons</w:t>
      </w:r>
      <w:r w:rsidR="007E7D6E">
        <w:rPr>
          <w:lang w:val="en-GB"/>
        </w:rPr>
        <w:t>;</w:t>
      </w:r>
      <w:r>
        <w:rPr>
          <w:lang w:val="en-GB"/>
        </w:rPr>
        <w:t xml:space="preserve"> undertakings to purchase or lease property in Malta, make an investment and remit the contribution</w:t>
      </w:r>
      <w:r w:rsidR="00D45FA3">
        <w:rPr>
          <w:lang w:val="en-GB"/>
        </w:rPr>
        <w:t>;</w:t>
      </w:r>
      <w:r w:rsidR="007E5B29">
        <w:rPr>
          <w:lang w:val="en-GB"/>
        </w:rPr>
        <w:t xml:space="preserve"> </w:t>
      </w:r>
      <w:r w:rsidR="007E5B29">
        <w:rPr>
          <w:lang w:val="en-GB"/>
        </w:rPr>
        <w:lastRenderedPageBreak/>
        <w:t xml:space="preserve">and </w:t>
      </w:r>
      <w:r w:rsidR="00D45FA3">
        <w:rPr>
          <w:lang w:val="en-GB"/>
        </w:rPr>
        <w:t>a certification</w:t>
      </w:r>
      <w:r w:rsidR="007E5B29">
        <w:rPr>
          <w:lang w:val="en-GB"/>
        </w:rPr>
        <w:t xml:space="preserve"> </w:t>
      </w:r>
      <w:r w:rsidR="00D45FA3" w:rsidRPr="00CB1D66">
        <w:rPr>
          <w:lang w:val="en-GB"/>
        </w:rPr>
        <w:t>that the main applicant and depen</w:t>
      </w:r>
      <w:r w:rsidR="00D45FA3">
        <w:rPr>
          <w:lang w:val="en-GB"/>
        </w:rPr>
        <w:t>dants are not suffering from a</w:t>
      </w:r>
      <w:r w:rsidR="00D45FA3" w:rsidRPr="00CB1D66">
        <w:rPr>
          <w:lang w:val="en-GB"/>
        </w:rPr>
        <w:t xml:space="preserve"> contagious disease and are otherwise in good health and will not be an unreasonable burden on </w:t>
      </w:r>
      <w:r w:rsidR="00E66846">
        <w:rPr>
          <w:lang w:val="en-GB"/>
        </w:rPr>
        <w:t>Malta’s</w:t>
      </w:r>
      <w:r w:rsidR="00D45FA3" w:rsidRPr="00CB1D66">
        <w:rPr>
          <w:lang w:val="en-GB"/>
        </w:rPr>
        <w:t xml:space="preserve"> health syste</w:t>
      </w:r>
      <w:r w:rsidR="00D45FA3">
        <w:rPr>
          <w:lang w:val="en-GB"/>
        </w:rPr>
        <w:t>m</w:t>
      </w:r>
      <w:r>
        <w:rPr>
          <w:lang w:val="en-GB"/>
        </w:rPr>
        <w:t xml:space="preserve">. Where the individual qualifies as a beneficiary, the </w:t>
      </w:r>
      <w:r w:rsidRPr="00E153EF">
        <w:rPr>
          <w:b/>
          <w:lang w:val="en-GB"/>
        </w:rPr>
        <w:t xml:space="preserve">MRVA will determine in writing that </w:t>
      </w:r>
      <w:r>
        <w:rPr>
          <w:b/>
          <w:lang w:val="en-GB"/>
        </w:rPr>
        <w:t>he</w:t>
      </w:r>
      <w:r w:rsidR="00AC7DB1">
        <w:rPr>
          <w:b/>
          <w:lang w:val="en-GB"/>
        </w:rPr>
        <w:t>/she</w:t>
      </w:r>
      <w:r>
        <w:rPr>
          <w:b/>
          <w:lang w:val="en-GB"/>
        </w:rPr>
        <w:t xml:space="preserve"> </w:t>
      </w:r>
      <w:r w:rsidRPr="00E153EF">
        <w:rPr>
          <w:b/>
          <w:lang w:val="en-GB"/>
        </w:rPr>
        <w:t>is to be issued a certificate</w:t>
      </w:r>
      <w:r>
        <w:rPr>
          <w:lang w:val="en-GB"/>
        </w:rPr>
        <w:t xml:space="preserve"> under the regulations.</w:t>
      </w:r>
      <w:r>
        <w:rPr>
          <w:rStyle w:val="FootnoteReference"/>
          <w:lang w:val="en-GB"/>
        </w:rPr>
        <w:footnoteReference w:id="23"/>
      </w:r>
      <w:r>
        <w:rPr>
          <w:lang w:val="en-GB"/>
        </w:rPr>
        <w:t xml:space="preserve"> Following this</w:t>
      </w:r>
      <w:r w:rsidR="00822C77">
        <w:rPr>
          <w:lang w:val="en-GB"/>
        </w:rPr>
        <w:t xml:space="preserve">, </w:t>
      </w:r>
      <w:r>
        <w:rPr>
          <w:lang w:val="en-GB"/>
        </w:rPr>
        <w:t xml:space="preserve">and </w:t>
      </w:r>
      <w:r w:rsidRPr="00E153EF">
        <w:rPr>
          <w:b/>
          <w:lang w:val="en-GB"/>
        </w:rPr>
        <w:t>prior to issuance of the certificate</w:t>
      </w:r>
      <w:r>
        <w:rPr>
          <w:lang w:val="en-GB"/>
        </w:rPr>
        <w:t xml:space="preserve">, the main </w:t>
      </w:r>
      <w:r w:rsidR="00EC3944">
        <w:rPr>
          <w:lang w:val="en-GB"/>
        </w:rPr>
        <w:t xml:space="preserve">applicant </w:t>
      </w:r>
      <w:r>
        <w:rPr>
          <w:lang w:val="en-GB"/>
        </w:rPr>
        <w:t>must: pay the contribution, less the non-refundable administrative fee</w:t>
      </w:r>
      <w:r w:rsidR="00EC3944">
        <w:rPr>
          <w:lang w:val="en-GB"/>
        </w:rPr>
        <w:t>;</w:t>
      </w:r>
      <w:r w:rsidR="007E7D6E">
        <w:rPr>
          <w:lang w:val="en-GB"/>
        </w:rPr>
        <w:t xml:space="preserve"> present </w:t>
      </w:r>
      <w:r>
        <w:rPr>
          <w:lang w:val="en-GB"/>
        </w:rPr>
        <w:t>title to a qualifying property</w:t>
      </w:r>
      <w:r w:rsidR="00EC3944">
        <w:rPr>
          <w:lang w:val="en-GB"/>
        </w:rPr>
        <w:t xml:space="preserve">; </w:t>
      </w:r>
      <w:r>
        <w:rPr>
          <w:lang w:val="en-GB"/>
        </w:rPr>
        <w:t>present a certificate to a qualifying investment. The application process takes five to six months.</w:t>
      </w:r>
      <w:r>
        <w:rPr>
          <w:rStyle w:val="FootnoteReference"/>
          <w:lang w:val="en-GB"/>
        </w:rPr>
        <w:footnoteReference w:id="24"/>
      </w:r>
      <w:r>
        <w:rPr>
          <w:lang w:val="en-GB"/>
        </w:rPr>
        <w:t xml:space="preserve"> If all conditions are satisfied a </w:t>
      </w:r>
      <w:r w:rsidRPr="00EC3944">
        <w:rPr>
          <w:b/>
          <w:lang w:val="en-GB"/>
        </w:rPr>
        <w:t>residence certificate is issued</w:t>
      </w:r>
      <w:r>
        <w:rPr>
          <w:lang w:val="en-GB"/>
        </w:rPr>
        <w:t xml:space="preserve">. </w:t>
      </w:r>
      <w:r w:rsidR="0013456F">
        <w:rPr>
          <w:b/>
        </w:rPr>
        <w:t>MRVP a</w:t>
      </w:r>
      <w:r w:rsidR="0013456F" w:rsidRPr="0044090D">
        <w:rPr>
          <w:b/>
        </w:rPr>
        <w:t xml:space="preserve">pplications may be turned down </w:t>
      </w:r>
      <w:r w:rsidR="0013456F" w:rsidRPr="0044090D">
        <w:t>if</w:t>
      </w:r>
      <w:r w:rsidR="007E7D6E">
        <w:t xml:space="preserve"> they are formally incomplete or if</w:t>
      </w:r>
      <w:r w:rsidR="0013456F" w:rsidRPr="0044090D">
        <w:t xml:space="preserve"> the applicant makes a false </w:t>
      </w:r>
      <w:r w:rsidR="0013456F">
        <w:t>statement or omits information</w:t>
      </w:r>
      <w:r w:rsidR="0013456F" w:rsidRPr="00FC4674">
        <w:t>.</w:t>
      </w:r>
      <w:r w:rsidR="00822C77">
        <w:t xml:space="preserve"> MRVP applications are subject to </w:t>
      </w:r>
      <w:r w:rsidR="00822C77">
        <w:rPr>
          <w:b/>
        </w:rPr>
        <w:t xml:space="preserve">a number of checks </w:t>
      </w:r>
      <w:r w:rsidR="00822C77">
        <w:t>as described above in relation to the IIP</w:t>
      </w:r>
      <w:r w:rsidR="002661B3">
        <w:t>. If these checks have a negative outcome, the application will be unsuccessful.</w:t>
      </w:r>
      <w:r w:rsidR="00822C77">
        <w:t xml:space="preserve"> </w:t>
      </w:r>
    </w:p>
    <w:p w14:paraId="7E2E43C7" w14:textId="42FBCDEE" w:rsidR="00C47FEC" w:rsidRPr="00396CA4" w:rsidRDefault="00C47FEC" w:rsidP="00B83867">
      <w:pPr>
        <w:pStyle w:val="MBT"/>
        <w:spacing w:line="240" w:lineRule="exact"/>
        <w:rPr>
          <w:lang w:val="en-GB"/>
        </w:rPr>
      </w:pPr>
    </w:p>
    <w:p w14:paraId="4FEB267F" w14:textId="070CA409" w:rsidR="00505518" w:rsidRDefault="00505518" w:rsidP="00B83867">
      <w:pPr>
        <w:pStyle w:val="MBT"/>
        <w:spacing w:line="240" w:lineRule="exact"/>
      </w:pPr>
      <w:r w:rsidRPr="00396CA4">
        <w:rPr>
          <w:lang w:val="en-GB"/>
        </w:rPr>
        <w:t xml:space="preserve">The </w:t>
      </w:r>
      <w:r w:rsidR="00822C77">
        <w:rPr>
          <w:b/>
          <w:lang w:val="en-GB"/>
        </w:rPr>
        <w:t>financial disbursement</w:t>
      </w:r>
      <w:r w:rsidRPr="00396CA4">
        <w:rPr>
          <w:lang w:val="en-GB"/>
        </w:rPr>
        <w:t xml:space="preserve"> </w:t>
      </w:r>
      <w:r w:rsidR="00822C77">
        <w:rPr>
          <w:lang w:val="en-GB"/>
        </w:rPr>
        <w:t>consists of</w:t>
      </w:r>
      <w:r w:rsidRPr="00396CA4">
        <w:rPr>
          <w:lang w:val="en-GB"/>
        </w:rPr>
        <w:t xml:space="preserve"> an </w:t>
      </w:r>
      <w:r w:rsidRPr="00AB6836">
        <w:rPr>
          <w:b/>
          <w:lang w:val="en-GB"/>
        </w:rPr>
        <w:t>investment</w:t>
      </w:r>
      <w:r w:rsidRPr="00396CA4">
        <w:rPr>
          <w:lang w:val="en-GB"/>
        </w:rPr>
        <w:t xml:space="preserve"> </w:t>
      </w:r>
      <w:r w:rsidR="00CA5E1D">
        <w:rPr>
          <w:lang w:val="en-GB"/>
        </w:rPr>
        <w:t>of EUR 2</w:t>
      </w:r>
      <w:r w:rsidRPr="00396CA4">
        <w:rPr>
          <w:lang w:val="en-GB"/>
        </w:rPr>
        <w:t>50,000</w:t>
      </w:r>
      <w:r w:rsidR="00CA5E1D">
        <w:rPr>
          <w:lang w:val="en-GB"/>
        </w:rPr>
        <w:t xml:space="preserve"> in government bonds</w:t>
      </w:r>
      <w:r w:rsidRPr="00396CA4">
        <w:rPr>
          <w:lang w:val="en-GB"/>
        </w:rPr>
        <w:t xml:space="preserve">; </w:t>
      </w:r>
      <w:r>
        <w:rPr>
          <w:lang w:val="en-GB"/>
        </w:rPr>
        <w:t xml:space="preserve">acquisition of </w:t>
      </w:r>
      <w:r w:rsidRPr="00AB6836">
        <w:rPr>
          <w:b/>
          <w:lang w:val="en-GB"/>
        </w:rPr>
        <w:t>immovable property</w:t>
      </w:r>
      <w:r>
        <w:rPr>
          <w:lang w:val="en-GB"/>
        </w:rPr>
        <w:t xml:space="preserve"> of a </w:t>
      </w:r>
      <w:r w:rsidRPr="00396CA4">
        <w:rPr>
          <w:lang w:val="en-GB"/>
        </w:rPr>
        <w:t>mini</w:t>
      </w:r>
      <w:r>
        <w:rPr>
          <w:lang w:val="en-GB"/>
        </w:rPr>
        <w:t>mum value of EUR 3</w:t>
      </w:r>
      <w:r w:rsidR="00CA5E1D">
        <w:rPr>
          <w:lang w:val="en-GB"/>
        </w:rPr>
        <w:t>2</w:t>
      </w:r>
      <w:r>
        <w:rPr>
          <w:lang w:val="en-GB"/>
        </w:rPr>
        <w:t>0,000</w:t>
      </w:r>
      <w:r w:rsidR="00CA5E1D">
        <w:rPr>
          <w:lang w:val="en-GB"/>
        </w:rPr>
        <w:t xml:space="preserve"> or EUR 270,000 (if in the south of Malta or </w:t>
      </w:r>
      <w:proofErr w:type="spellStart"/>
      <w:r w:rsidR="00CA5E1D">
        <w:rPr>
          <w:lang w:val="en-GB"/>
        </w:rPr>
        <w:t>Gozo</w:t>
      </w:r>
      <w:proofErr w:type="spellEnd"/>
      <w:r w:rsidR="00CA5E1D">
        <w:rPr>
          <w:lang w:val="en-GB"/>
        </w:rPr>
        <w:t>)</w:t>
      </w:r>
      <w:r>
        <w:rPr>
          <w:lang w:val="en-GB"/>
        </w:rPr>
        <w:t xml:space="preserve"> or</w:t>
      </w:r>
      <w:r w:rsidRPr="00396CA4">
        <w:rPr>
          <w:lang w:val="en-GB"/>
        </w:rPr>
        <w:t xml:space="preserve"> lease </w:t>
      </w:r>
      <w:r>
        <w:rPr>
          <w:lang w:val="en-GB"/>
        </w:rPr>
        <w:t xml:space="preserve">of </w:t>
      </w:r>
      <w:r w:rsidRPr="00396CA4">
        <w:rPr>
          <w:lang w:val="en-GB"/>
        </w:rPr>
        <w:t>immovable property for</w:t>
      </w:r>
      <w:r w:rsidR="00CA5E1D">
        <w:rPr>
          <w:lang w:val="en-GB"/>
        </w:rPr>
        <w:t xml:space="preserve"> a minimum annual rent of EUR 12</w:t>
      </w:r>
      <w:r w:rsidRPr="00396CA4">
        <w:rPr>
          <w:lang w:val="en-GB"/>
        </w:rPr>
        <w:t>,</w:t>
      </w:r>
      <w:r>
        <w:rPr>
          <w:lang w:val="en-GB"/>
        </w:rPr>
        <w:t>000</w:t>
      </w:r>
      <w:r w:rsidRPr="00396CA4">
        <w:rPr>
          <w:lang w:val="en-GB"/>
        </w:rPr>
        <w:t xml:space="preserve"> </w:t>
      </w:r>
      <w:r w:rsidR="00CA5E1D">
        <w:rPr>
          <w:lang w:val="en-GB"/>
        </w:rPr>
        <w:t xml:space="preserve">or EUR 10,000 (if in south of Malta or </w:t>
      </w:r>
      <w:proofErr w:type="spellStart"/>
      <w:r w:rsidR="00CA5E1D">
        <w:rPr>
          <w:lang w:val="en-GB"/>
        </w:rPr>
        <w:t>Gozo</w:t>
      </w:r>
      <w:proofErr w:type="spellEnd"/>
      <w:r w:rsidR="00CA5E1D">
        <w:rPr>
          <w:lang w:val="en-GB"/>
        </w:rPr>
        <w:t>)</w:t>
      </w:r>
      <w:r w:rsidRPr="00396CA4">
        <w:rPr>
          <w:lang w:val="en-GB"/>
        </w:rPr>
        <w:t xml:space="preserve">; </w:t>
      </w:r>
      <w:r w:rsidR="00CA5E1D">
        <w:rPr>
          <w:lang w:val="en-GB"/>
        </w:rPr>
        <w:t>payment of the</w:t>
      </w:r>
      <w:r w:rsidRPr="00396CA4">
        <w:rPr>
          <w:lang w:val="en-GB"/>
        </w:rPr>
        <w:t xml:space="preserve"> </w:t>
      </w:r>
      <w:r w:rsidRPr="00AB6836">
        <w:rPr>
          <w:b/>
          <w:lang w:val="en-GB"/>
        </w:rPr>
        <w:t>contribution</w:t>
      </w:r>
      <w:r w:rsidRPr="00396CA4">
        <w:rPr>
          <w:lang w:val="en-GB"/>
        </w:rPr>
        <w:t xml:space="preserve"> </w:t>
      </w:r>
      <w:r w:rsidR="00CA5E1D">
        <w:rPr>
          <w:lang w:val="en-GB"/>
        </w:rPr>
        <w:t>of EUR 30,000 and where applicable, EUR 5,</w:t>
      </w:r>
      <w:r w:rsidR="00CA5E1D" w:rsidRPr="00CA5E1D">
        <w:rPr>
          <w:lang w:val="en-GB"/>
        </w:rPr>
        <w:t xml:space="preserve">000 per parent or </w:t>
      </w:r>
      <w:r w:rsidR="00EC3944" w:rsidRPr="00CA5E1D">
        <w:rPr>
          <w:lang w:val="en-GB"/>
        </w:rPr>
        <w:t>grandparent</w:t>
      </w:r>
      <w:r w:rsidR="00CA5E1D" w:rsidRPr="00CA5E1D">
        <w:rPr>
          <w:lang w:val="en-GB"/>
        </w:rPr>
        <w:t xml:space="preserve"> of the main applicant or </w:t>
      </w:r>
      <w:r w:rsidR="007E7D6E">
        <w:rPr>
          <w:lang w:val="en-GB"/>
        </w:rPr>
        <w:t xml:space="preserve">of </w:t>
      </w:r>
      <w:r w:rsidR="00CA5E1D" w:rsidRPr="00CA5E1D">
        <w:rPr>
          <w:lang w:val="en-GB"/>
        </w:rPr>
        <w:t>his/her spouse.</w:t>
      </w:r>
      <w:r w:rsidR="00AC7DB1">
        <w:rPr>
          <w:rStyle w:val="FootnoteReference"/>
          <w:lang w:val="en-GB"/>
        </w:rPr>
        <w:footnoteReference w:id="25"/>
      </w:r>
      <w:r w:rsidR="00CA5E1D" w:rsidRPr="00CA5E1D">
        <w:rPr>
          <w:lang w:val="en-GB"/>
        </w:rPr>
        <w:t xml:space="preserve"> The contribution is paid by bank transfer to MRVA’s bank account. The </w:t>
      </w:r>
      <w:r w:rsidR="00CA5E1D" w:rsidRPr="00CA5E1D">
        <w:rPr>
          <w:b/>
          <w:lang w:val="en-GB"/>
        </w:rPr>
        <w:t>amount required to obtain the residence certificate</w:t>
      </w:r>
      <w:r w:rsidR="00E66846">
        <w:rPr>
          <w:b/>
          <w:lang w:val="en-GB"/>
        </w:rPr>
        <w:t xml:space="preserve"> therefore</w:t>
      </w:r>
      <w:r w:rsidR="00CA5E1D" w:rsidRPr="00CA5E1D">
        <w:rPr>
          <w:lang w:val="en-GB"/>
        </w:rPr>
        <w:t xml:space="preserve"> </w:t>
      </w:r>
      <w:r w:rsidR="00CA5E1D" w:rsidRPr="00CA5E1D">
        <w:rPr>
          <w:b/>
          <w:lang w:val="en-GB"/>
        </w:rPr>
        <w:t>depends</w:t>
      </w:r>
      <w:r w:rsidR="007D772C">
        <w:rPr>
          <w:b/>
          <w:lang w:val="en-GB"/>
        </w:rPr>
        <w:t xml:space="preserve"> </w:t>
      </w:r>
      <w:r w:rsidR="00CA5E1D" w:rsidRPr="00CA5E1D">
        <w:rPr>
          <w:b/>
          <w:lang w:val="en-GB"/>
        </w:rPr>
        <w:t>on the circumstances</w:t>
      </w:r>
      <w:r w:rsidR="009679DA">
        <w:rPr>
          <w:lang w:val="en-GB"/>
        </w:rPr>
        <w:t>.</w:t>
      </w:r>
      <w:r w:rsidR="00CA5E1D" w:rsidRPr="00CA5E1D">
        <w:rPr>
          <w:lang w:val="en-GB"/>
        </w:rPr>
        <w:t xml:space="preserve"> </w:t>
      </w:r>
      <w:r w:rsidR="00AC7DB1">
        <w:rPr>
          <w:lang w:val="en-GB"/>
        </w:rPr>
        <w:t xml:space="preserve">The </w:t>
      </w:r>
      <w:r w:rsidR="00AC7DB1" w:rsidRPr="00822C77">
        <w:rPr>
          <w:b/>
          <w:lang w:val="en-GB"/>
        </w:rPr>
        <w:t xml:space="preserve">minimum </w:t>
      </w:r>
      <w:r w:rsidR="00822C77">
        <w:rPr>
          <w:b/>
          <w:lang w:val="en-GB"/>
        </w:rPr>
        <w:t xml:space="preserve">cost incurred </w:t>
      </w:r>
      <w:r w:rsidR="00AC7DB1">
        <w:rPr>
          <w:lang w:val="en-GB"/>
        </w:rPr>
        <w:t xml:space="preserve">under MRVP </w:t>
      </w:r>
      <w:r w:rsidR="00CA5E1D" w:rsidRPr="00CA5E1D">
        <w:rPr>
          <w:lang w:val="en-GB"/>
        </w:rPr>
        <w:t xml:space="preserve">by a main applicant with qualifying owned property in </w:t>
      </w:r>
      <w:r w:rsidR="00822C77">
        <w:rPr>
          <w:lang w:val="en-GB"/>
        </w:rPr>
        <w:t xml:space="preserve">the south of Malta </w:t>
      </w:r>
      <w:r w:rsidR="00CA5E1D" w:rsidRPr="00CA5E1D">
        <w:rPr>
          <w:lang w:val="en-GB"/>
        </w:rPr>
        <w:t>and no d</w:t>
      </w:r>
      <w:r w:rsidR="00822C77">
        <w:rPr>
          <w:lang w:val="en-GB"/>
        </w:rPr>
        <w:t>ependants would amount to EUR 55</w:t>
      </w:r>
      <w:r w:rsidR="00CA5E1D" w:rsidRPr="00CA5E1D">
        <w:rPr>
          <w:lang w:val="en-GB"/>
        </w:rPr>
        <w:t xml:space="preserve">0,000 (EUR 30,000 (contribution) + EUR </w:t>
      </w:r>
      <w:r w:rsidR="00822C77">
        <w:rPr>
          <w:lang w:val="en-GB"/>
        </w:rPr>
        <w:t>270</w:t>
      </w:r>
      <w:r w:rsidR="00CA5E1D" w:rsidRPr="00CA5E1D">
        <w:rPr>
          <w:lang w:val="en-GB"/>
        </w:rPr>
        <w:t>,000 (property) + EUR 250,000 (investment)).</w:t>
      </w:r>
      <w:r w:rsidR="00CA5E1D">
        <w:rPr>
          <w:lang w:val="en-GB"/>
        </w:rPr>
        <w:t xml:space="preserve"> </w:t>
      </w:r>
      <w:r w:rsidR="00822C77">
        <w:t>Applicants</w:t>
      </w:r>
      <w:r w:rsidRPr="00396CA4">
        <w:t xml:space="preserve"> must also pay the </w:t>
      </w:r>
      <w:r w:rsidR="00EC3944">
        <w:rPr>
          <w:b/>
        </w:rPr>
        <w:t>a</w:t>
      </w:r>
      <w:r w:rsidRPr="00396CA4">
        <w:rPr>
          <w:b/>
        </w:rPr>
        <w:t>gent’s fees</w:t>
      </w:r>
      <w:r>
        <w:rPr>
          <w:bCs w:val="0"/>
        </w:rPr>
        <w:t xml:space="preserve"> as </w:t>
      </w:r>
      <w:r w:rsidR="00822C77">
        <w:t>per</w:t>
      </w:r>
      <w:r w:rsidRPr="00396CA4">
        <w:t xml:space="preserve"> agreement between the agent and </w:t>
      </w:r>
      <w:r w:rsidR="00EC3944">
        <w:t>applicant</w:t>
      </w:r>
      <w:r w:rsidRPr="00396CA4">
        <w:t xml:space="preserve">. </w:t>
      </w:r>
      <w:r w:rsidR="0013456F">
        <w:t xml:space="preserve"> </w:t>
      </w:r>
    </w:p>
    <w:p w14:paraId="0B30C40F" w14:textId="77777777" w:rsidR="0013456F" w:rsidRDefault="0013456F" w:rsidP="00B83867">
      <w:pPr>
        <w:pStyle w:val="MBT"/>
        <w:spacing w:line="240" w:lineRule="exact"/>
      </w:pPr>
    </w:p>
    <w:p w14:paraId="68DE38D5" w14:textId="7B58189B" w:rsidR="0013456F" w:rsidRPr="00CA5E1D" w:rsidRDefault="0013456F" w:rsidP="00B83867">
      <w:pPr>
        <w:pStyle w:val="MBT"/>
        <w:spacing w:line="240" w:lineRule="exact"/>
        <w:rPr>
          <w:lang w:val="en-GB"/>
        </w:rPr>
      </w:pPr>
      <w:r w:rsidRPr="0013456F">
        <w:rPr>
          <w:lang w:val="en-GB"/>
        </w:rPr>
        <w:t xml:space="preserve">The applicant must present a </w:t>
      </w:r>
      <w:r w:rsidRPr="0013456F">
        <w:rPr>
          <w:b/>
          <w:lang w:val="en-GB"/>
        </w:rPr>
        <w:t>certificate proving the investment</w:t>
      </w:r>
      <w:r w:rsidRPr="0013456F">
        <w:rPr>
          <w:lang w:val="en-GB"/>
        </w:rPr>
        <w:t xml:space="preserve"> and the </w:t>
      </w:r>
      <w:r w:rsidRPr="0013456F">
        <w:rPr>
          <w:b/>
          <w:lang w:val="en-GB"/>
        </w:rPr>
        <w:t xml:space="preserve">document of </w:t>
      </w:r>
      <w:r w:rsidRPr="006173B2">
        <w:rPr>
          <w:b/>
          <w:lang w:val="en-GB"/>
        </w:rPr>
        <w:t>title to a</w:t>
      </w:r>
      <w:r w:rsidR="009E0CAD">
        <w:rPr>
          <w:b/>
          <w:lang w:val="en-GB"/>
        </w:rPr>
        <w:t>n owned or rented</w:t>
      </w:r>
      <w:r w:rsidRPr="006173B2">
        <w:rPr>
          <w:b/>
          <w:lang w:val="en-GB"/>
        </w:rPr>
        <w:t xml:space="preserve"> qualifying property</w:t>
      </w:r>
      <w:r w:rsidRPr="0013456F">
        <w:rPr>
          <w:lang w:val="en-GB"/>
        </w:rPr>
        <w:t>.</w:t>
      </w:r>
      <w:r>
        <w:rPr>
          <w:lang w:val="en-GB"/>
        </w:rPr>
        <w:t xml:space="preserve"> </w:t>
      </w:r>
      <w:r w:rsidRPr="0013456F">
        <w:rPr>
          <w:lang w:val="en-GB"/>
        </w:rPr>
        <w:t xml:space="preserve">The investment </w:t>
      </w:r>
      <w:r w:rsidR="006173B2">
        <w:rPr>
          <w:lang w:val="en-GB"/>
        </w:rPr>
        <w:t xml:space="preserve">and </w:t>
      </w:r>
      <w:r w:rsidR="006173B2" w:rsidRPr="0013456F">
        <w:rPr>
          <w:lang w:val="en-GB"/>
        </w:rPr>
        <w:t xml:space="preserve">property </w:t>
      </w:r>
      <w:r w:rsidRPr="0013456F">
        <w:rPr>
          <w:lang w:val="en-GB"/>
        </w:rPr>
        <w:t xml:space="preserve">must be held for a </w:t>
      </w:r>
      <w:r w:rsidRPr="0013456F">
        <w:rPr>
          <w:b/>
          <w:lang w:val="en-GB"/>
        </w:rPr>
        <w:t>minimum of five years from the date of issuance of the residence certificate</w:t>
      </w:r>
      <w:r w:rsidRPr="0013456F">
        <w:rPr>
          <w:lang w:val="en-GB"/>
        </w:rPr>
        <w:t xml:space="preserve">. </w:t>
      </w:r>
      <w:r>
        <w:rPr>
          <w:lang w:val="en-GB"/>
        </w:rPr>
        <w:t>Once</w:t>
      </w:r>
      <w:r w:rsidRPr="0013456F">
        <w:rPr>
          <w:lang w:val="en-GB"/>
        </w:rPr>
        <w:t xml:space="preserve"> the certificate is issued it is </w:t>
      </w:r>
      <w:r w:rsidRPr="0013456F">
        <w:rPr>
          <w:b/>
          <w:lang w:val="en-GB"/>
        </w:rPr>
        <w:t xml:space="preserve">monitored </w:t>
      </w:r>
      <w:r w:rsidRPr="0013456F">
        <w:rPr>
          <w:lang w:val="en-GB"/>
        </w:rPr>
        <w:t>annually for the first five years and every five years thereafter.</w:t>
      </w:r>
      <w:r w:rsidR="00C9475A">
        <w:rPr>
          <w:rStyle w:val="FootnoteReference"/>
          <w:lang w:val="en-GB"/>
        </w:rPr>
        <w:footnoteReference w:id="26"/>
      </w:r>
      <w:r w:rsidR="001C0B4D">
        <w:rPr>
          <w:lang w:val="en-GB"/>
        </w:rPr>
        <w:t xml:space="preserve"> </w:t>
      </w:r>
      <w:r w:rsidR="001C0B4D">
        <w:rPr>
          <w:bCs w:val="0"/>
          <w:lang w:val="en-GB"/>
        </w:rPr>
        <w:t>A</w:t>
      </w:r>
      <w:r w:rsidR="001C0B4D" w:rsidRPr="00E66362">
        <w:rPr>
          <w:lang w:val="en-GB"/>
        </w:rPr>
        <w:t>fter five years, beneficiaries are no longer bound to r</w:t>
      </w:r>
      <w:r w:rsidR="001C0B4D">
        <w:rPr>
          <w:bCs w:val="0"/>
          <w:lang w:val="en-GB"/>
        </w:rPr>
        <w:t>etain the investment and</w:t>
      </w:r>
      <w:r w:rsidR="001C0B4D" w:rsidRPr="00E66362">
        <w:rPr>
          <w:lang w:val="en-GB"/>
        </w:rPr>
        <w:t xml:space="preserve"> property</w:t>
      </w:r>
      <w:r w:rsidR="001C0B4D">
        <w:rPr>
          <w:bCs w:val="0"/>
          <w:lang w:val="en-GB"/>
        </w:rPr>
        <w:t>.</w:t>
      </w:r>
    </w:p>
    <w:p w14:paraId="13F1B641" w14:textId="77777777" w:rsidR="00827BCA" w:rsidRDefault="00827BCA" w:rsidP="00B83867">
      <w:pPr>
        <w:spacing w:line="240" w:lineRule="exact"/>
        <w:jc w:val="both"/>
        <w:rPr>
          <w:rFonts w:ascii="Times New Roman" w:hAnsi="Times New Roman" w:cs="Times New Roman"/>
          <w:bCs/>
          <w:sz w:val="22"/>
          <w:szCs w:val="22"/>
        </w:rPr>
      </w:pPr>
    </w:p>
    <w:p w14:paraId="160B7DBF" w14:textId="54149F01" w:rsidR="004B6BB3" w:rsidRDefault="00F85D8F" w:rsidP="00B83867">
      <w:pPr>
        <w:spacing w:line="240" w:lineRule="exact"/>
        <w:jc w:val="both"/>
        <w:rPr>
          <w:rFonts w:ascii="Times New Roman" w:hAnsi="Times New Roman" w:cs="Times New Roman"/>
          <w:bCs/>
          <w:sz w:val="22"/>
          <w:szCs w:val="22"/>
          <w:lang w:val="en-GB"/>
        </w:rPr>
      </w:pPr>
      <w:r>
        <w:rPr>
          <w:rFonts w:ascii="Times New Roman" w:hAnsi="Times New Roman" w:cs="Times New Roman"/>
          <w:bCs/>
          <w:sz w:val="22"/>
          <w:szCs w:val="22"/>
        </w:rPr>
        <w:t>MRVP</w:t>
      </w:r>
      <w:r w:rsidR="001C0B4D">
        <w:rPr>
          <w:rFonts w:ascii="Times New Roman" w:hAnsi="Times New Roman" w:cs="Times New Roman"/>
          <w:bCs/>
          <w:sz w:val="22"/>
          <w:szCs w:val="22"/>
        </w:rPr>
        <w:t xml:space="preserve"> certificates</w:t>
      </w:r>
      <w:r>
        <w:rPr>
          <w:rFonts w:ascii="Times New Roman" w:hAnsi="Times New Roman" w:cs="Times New Roman"/>
          <w:bCs/>
          <w:sz w:val="22"/>
          <w:szCs w:val="22"/>
        </w:rPr>
        <w:t xml:space="preserve"> constitute a </w:t>
      </w:r>
      <w:r>
        <w:rPr>
          <w:rFonts w:ascii="Times New Roman" w:hAnsi="Times New Roman" w:cs="Times New Roman"/>
          <w:b/>
          <w:bCs/>
          <w:sz w:val="22"/>
          <w:szCs w:val="22"/>
        </w:rPr>
        <w:t>residence permit</w:t>
      </w:r>
      <w:r>
        <w:rPr>
          <w:rFonts w:ascii="Times New Roman" w:hAnsi="Times New Roman" w:cs="Times New Roman"/>
          <w:bCs/>
          <w:sz w:val="22"/>
          <w:szCs w:val="22"/>
        </w:rPr>
        <w:t xml:space="preserve"> in terms or Malta’s Immigration Act</w:t>
      </w:r>
      <w:r w:rsidR="00F23860">
        <w:rPr>
          <w:rFonts w:ascii="Times New Roman" w:hAnsi="Times New Roman" w:cs="Times New Roman"/>
          <w:bCs/>
          <w:sz w:val="22"/>
          <w:szCs w:val="22"/>
        </w:rPr>
        <w:t>.</w:t>
      </w:r>
      <w:r w:rsidR="00622D8C">
        <w:rPr>
          <w:rStyle w:val="FootnoteReference"/>
          <w:rFonts w:ascii="Times New Roman" w:hAnsi="Times New Roman" w:cs="Times New Roman"/>
          <w:bCs/>
          <w:sz w:val="22"/>
          <w:szCs w:val="22"/>
        </w:rPr>
        <w:footnoteReference w:id="27"/>
      </w:r>
      <w:r w:rsidR="00F23860">
        <w:rPr>
          <w:rFonts w:ascii="Times New Roman" w:hAnsi="Times New Roman" w:cs="Times New Roman"/>
          <w:bCs/>
          <w:sz w:val="22"/>
          <w:szCs w:val="22"/>
        </w:rPr>
        <w:t xml:space="preserve"> </w:t>
      </w:r>
      <w:r w:rsidRPr="00F85D8F">
        <w:rPr>
          <w:rFonts w:ascii="Times New Roman" w:hAnsi="Times New Roman" w:cs="Times New Roman"/>
          <w:bCs/>
          <w:sz w:val="22"/>
          <w:szCs w:val="22"/>
          <w:lang w:val="en-GB"/>
        </w:rPr>
        <w:t xml:space="preserve">The application for the e-Residence Card entails </w:t>
      </w:r>
      <w:r w:rsidR="00A32483">
        <w:rPr>
          <w:rFonts w:ascii="Times New Roman" w:hAnsi="Times New Roman" w:cs="Times New Roman"/>
          <w:bCs/>
          <w:sz w:val="22"/>
          <w:szCs w:val="22"/>
          <w:lang w:val="en-GB"/>
        </w:rPr>
        <w:t xml:space="preserve">the taking </w:t>
      </w:r>
      <w:r w:rsidRPr="00F85D8F">
        <w:rPr>
          <w:rFonts w:ascii="Times New Roman" w:hAnsi="Times New Roman" w:cs="Times New Roman"/>
          <w:bCs/>
          <w:sz w:val="22"/>
          <w:szCs w:val="22"/>
          <w:lang w:val="en-GB"/>
        </w:rPr>
        <w:t xml:space="preserve">of biometric data and hence all </w:t>
      </w:r>
      <w:r w:rsidRPr="006173B2">
        <w:rPr>
          <w:rFonts w:ascii="Times New Roman" w:hAnsi="Times New Roman" w:cs="Times New Roman"/>
          <w:b/>
          <w:bCs/>
          <w:sz w:val="22"/>
          <w:szCs w:val="22"/>
          <w:lang w:val="en-GB"/>
        </w:rPr>
        <w:t xml:space="preserve">applicants </w:t>
      </w:r>
      <w:r w:rsidRPr="00F85D8F">
        <w:rPr>
          <w:rFonts w:ascii="Times New Roman" w:hAnsi="Times New Roman" w:cs="Times New Roman"/>
          <w:b/>
          <w:bCs/>
          <w:sz w:val="22"/>
          <w:szCs w:val="22"/>
          <w:lang w:val="en-GB"/>
        </w:rPr>
        <w:t xml:space="preserve">must have entered Malta at least once </w:t>
      </w:r>
      <w:r w:rsidRPr="00F85D8F">
        <w:rPr>
          <w:rFonts w:ascii="Times New Roman" w:hAnsi="Times New Roman" w:cs="Times New Roman"/>
          <w:bCs/>
          <w:sz w:val="22"/>
          <w:szCs w:val="22"/>
          <w:lang w:val="en-GB"/>
        </w:rPr>
        <w:t>prior to becoming MRVP beneficiaries.</w:t>
      </w:r>
      <w:r>
        <w:rPr>
          <w:rFonts w:ascii="Times New Roman" w:hAnsi="Times New Roman" w:cs="Times New Roman"/>
          <w:bCs/>
          <w:sz w:val="22"/>
          <w:szCs w:val="22"/>
          <w:lang w:val="en-GB"/>
        </w:rPr>
        <w:t xml:space="preserve"> </w:t>
      </w:r>
      <w:r w:rsidRPr="00F85D8F">
        <w:rPr>
          <w:rFonts w:ascii="Times New Roman" w:hAnsi="Times New Roman" w:cs="Times New Roman"/>
          <w:bCs/>
          <w:sz w:val="22"/>
          <w:szCs w:val="22"/>
          <w:lang w:val="en-GB"/>
        </w:rPr>
        <w:t xml:space="preserve">The national law does not </w:t>
      </w:r>
      <w:r w:rsidR="00C9475A">
        <w:rPr>
          <w:rFonts w:ascii="Times New Roman" w:hAnsi="Times New Roman" w:cs="Times New Roman"/>
          <w:bCs/>
          <w:sz w:val="22"/>
          <w:szCs w:val="22"/>
          <w:lang w:val="en-GB"/>
        </w:rPr>
        <w:t xml:space="preserve">provide for </w:t>
      </w:r>
      <w:r w:rsidRPr="00F85D8F">
        <w:rPr>
          <w:rFonts w:ascii="Times New Roman" w:hAnsi="Times New Roman" w:cs="Times New Roman"/>
          <w:bCs/>
          <w:sz w:val="22"/>
          <w:szCs w:val="22"/>
          <w:lang w:val="en-GB"/>
        </w:rPr>
        <w:t>checks on the fulfilment of the residence criterion</w:t>
      </w:r>
      <w:r>
        <w:rPr>
          <w:rFonts w:ascii="Times New Roman" w:hAnsi="Times New Roman" w:cs="Times New Roman"/>
          <w:bCs/>
          <w:sz w:val="22"/>
          <w:szCs w:val="22"/>
          <w:lang w:val="en-GB"/>
        </w:rPr>
        <w:t>. T</w:t>
      </w:r>
      <w:r w:rsidRPr="00F85D8F">
        <w:rPr>
          <w:rFonts w:ascii="Times New Roman" w:hAnsi="Times New Roman" w:cs="Times New Roman"/>
          <w:bCs/>
          <w:sz w:val="22"/>
          <w:szCs w:val="22"/>
          <w:lang w:val="en-GB"/>
        </w:rPr>
        <w:t xml:space="preserve">here is </w:t>
      </w:r>
      <w:r w:rsidRPr="00C9475A">
        <w:rPr>
          <w:rFonts w:ascii="Times New Roman" w:hAnsi="Times New Roman" w:cs="Times New Roman"/>
          <w:b/>
          <w:bCs/>
          <w:sz w:val="22"/>
          <w:szCs w:val="22"/>
          <w:lang w:val="en-GB"/>
        </w:rPr>
        <w:t>nothing requiring the continuous physical presence of the investor in Malta</w:t>
      </w:r>
      <w:r w:rsidRPr="00F85D8F">
        <w:rPr>
          <w:rFonts w:ascii="Times New Roman" w:hAnsi="Times New Roman" w:cs="Times New Roman"/>
          <w:bCs/>
          <w:sz w:val="22"/>
          <w:szCs w:val="22"/>
          <w:lang w:val="en-GB"/>
        </w:rPr>
        <w:t xml:space="preserve">. </w:t>
      </w:r>
      <w:r w:rsidR="00E66362">
        <w:rPr>
          <w:rFonts w:ascii="Times New Roman" w:hAnsi="Times New Roman" w:cs="Times New Roman"/>
          <w:bCs/>
          <w:sz w:val="22"/>
          <w:szCs w:val="22"/>
          <w:lang w:val="en-GB"/>
        </w:rPr>
        <w:t>The residence permit is permanent</w:t>
      </w:r>
      <w:r w:rsidR="00F23860">
        <w:rPr>
          <w:rFonts w:ascii="Times New Roman" w:hAnsi="Times New Roman" w:cs="Times New Roman"/>
          <w:bCs/>
          <w:sz w:val="22"/>
          <w:szCs w:val="22"/>
          <w:lang w:val="en-GB"/>
        </w:rPr>
        <w:t xml:space="preserve"> (not time bound)</w:t>
      </w:r>
      <w:r w:rsidR="00E66362">
        <w:rPr>
          <w:rFonts w:ascii="Times New Roman" w:hAnsi="Times New Roman" w:cs="Times New Roman"/>
          <w:bCs/>
          <w:sz w:val="22"/>
          <w:szCs w:val="22"/>
          <w:lang w:val="en-GB"/>
        </w:rPr>
        <w:t xml:space="preserve">, but the </w:t>
      </w:r>
      <w:r w:rsidR="00822C77" w:rsidRPr="00822C77">
        <w:rPr>
          <w:rFonts w:ascii="Times New Roman" w:hAnsi="Times New Roman" w:cs="Times New Roman"/>
          <w:b/>
          <w:bCs/>
          <w:sz w:val="22"/>
          <w:szCs w:val="22"/>
          <w:lang w:val="en-GB"/>
        </w:rPr>
        <w:t>e-</w:t>
      </w:r>
      <w:r w:rsidR="00E66362" w:rsidRPr="00C9475A">
        <w:rPr>
          <w:rFonts w:ascii="Times New Roman" w:hAnsi="Times New Roman" w:cs="Times New Roman"/>
          <w:b/>
          <w:bCs/>
          <w:sz w:val="22"/>
          <w:szCs w:val="22"/>
          <w:lang w:val="en-GB"/>
        </w:rPr>
        <w:t>Residence Card is renewed every five years</w:t>
      </w:r>
      <w:r w:rsidR="00E66362">
        <w:rPr>
          <w:rFonts w:ascii="Times New Roman" w:hAnsi="Times New Roman" w:cs="Times New Roman"/>
          <w:bCs/>
          <w:sz w:val="22"/>
          <w:szCs w:val="22"/>
          <w:lang w:val="en-GB"/>
        </w:rPr>
        <w:t xml:space="preserve">. </w:t>
      </w:r>
      <w:r w:rsidR="00E66362" w:rsidRPr="00E66362">
        <w:rPr>
          <w:rFonts w:ascii="Times New Roman" w:hAnsi="Times New Roman" w:cs="Times New Roman"/>
          <w:bCs/>
          <w:sz w:val="22"/>
          <w:szCs w:val="22"/>
          <w:lang w:val="en-GB"/>
        </w:rPr>
        <w:t xml:space="preserve">To renew </w:t>
      </w:r>
      <w:r w:rsidR="00F23860">
        <w:rPr>
          <w:rFonts w:ascii="Times New Roman" w:hAnsi="Times New Roman" w:cs="Times New Roman"/>
          <w:bCs/>
          <w:sz w:val="22"/>
          <w:szCs w:val="22"/>
          <w:lang w:val="en-GB"/>
        </w:rPr>
        <w:t>it</w:t>
      </w:r>
      <w:r w:rsidR="00E66362" w:rsidRPr="00E66362">
        <w:rPr>
          <w:rFonts w:ascii="Times New Roman" w:hAnsi="Times New Roman" w:cs="Times New Roman"/>
          <w:bCs/>
          <w:sz w:val="22"/>
          <w:szCs w:val="22"/>
          <w:lang w:val="en-GB"/>
        </w:rPr>
        <w:t xml:space="preserve">, each applicant over the age of 14 needs to have their biometric data taken in Malta. Each applicant is subject to a </w:t>
      </w:r>
      <w:r w:rsidR="00E66362" w:rsidRPr="00822C77">
        <w:rPr>
          <w:rFonts w:ascii="Times New Roman" w:hAnsi="Times New Roman" w:cs="Times New Roman"/>
          <w:b/>
          <w:bCs/>
          <w:sz w:val="22"/>
          <w:szCs w:val="22"/>
          <w:lang w:val="en-GB"/>
        </w:rPr>
        <w:t>renewal fee of EUR 27.50.</w:t>
      </w:r>
      <w:r w:rsidR="00E66362" w:rsidRPr="00E66362">
        <w:rPr>
          <w:rFonts w:ascii="Times New Roman" w:hAnsi="Times New Roman" w:cs="Times New Roman"/>
          <w:bCs/>
          <w:sz w:val="22"/>
          <w:szCs w:val="22"/>
          <w:lang w:val="en-GB"/>
        </w:rPr>
        <w:t xml:space="preserve"> Renewals are handled by</w:t>
      </w:r>
      <w:r w:rsidR="00D15969">
        <w:rPr>
          <w:rFonts w:ascii="Times New Roman" w:hAnsi="Times New Roman" w:cs="Times New Roman"/>
          <w:bCs/>
          <w:sz w:val="22"/>
          <w:szCs w:val="22"/>
          <w:lang w:val="en-GB"/>
        </w:rPr>
        <w:t xml:space="preserve"> the same</w:t>
      </w:r>
      <w:r w:rsidR="00E66362" w:rsidRPr="00E66362">
        <w:rPr>
          <w:rFonts w:ascii="Times New Roman" w:hAnsi="Times New Roman" w:cs="Times New Roman"/>
          <w:bCs/>
          <w:sz w:val="22"/>
          <w:szCs w:val="22"/>
          <w:lang w:val="en-GB"/>
        </w:rPr>
        <w:t xml:space="preserve"> </w:t>
      </w:r>
      <w:r w:rsidR="00EC3944">
        <w:rPr>
          <w:rFonts w:ascii="Times New Roman" w:hAnsi="Times New Roman" w:cs="Times New Roman"/>
          <w:bCs/>
          <w:sz w:val="22"/>
          <w:szCs w:val="22"/>
          <w:lang w:val="en-GB"/>
        </w:rPr>
        <w:t>agents</w:t>
      </w:r>
      <w:r w:rsidR="00D15969">
        <w:rPr>
          <w:rFonts w:ascii="Times New Roman" w:hAnsi="Times New Roman" w:cs="Times New Roman"/>
          <w:bCs/>
          <w:sz w:val="22"/>
          <w:szCs w:val="22"/>
          <w:lang w:val="en-GB"/>
        </w:rPr>
        <w:t xml:space="preserve"> who act on behalf of the applicant throughout the </w:t>
      </w:r>
      <w:r w:rsidR="00325671">
        <w:rPr>
          <w:rFonts w:ascii="Times New Roman" w:hAnsi="Times New Roman" w:cs="Times New Roman"/>
          <w:bCs/>
          <w:sz w:val="22"/>
          <w:szCs w:val="22"/>
          <w:lang w:val="en-GB"/>
        </w:rPr>
        <w:t xml:space="preserve">application </w:t>
      </w:r>
      <w:r w:rsidR="00D15969">
        <w:rPr>
          <w:rFonts w:ascii="Times New Roman" w:hAnsi="Times New Roman" w:cs="Times New Roman"/>
          <w:bCs/>
          <w:sz w:val="22"/>
          <w:szCs w:val="22"/>
          <w:lang w:val="en-GB"/>
        </w:rPr>
        <w:t>process</w:t>
      </w:r>
      <w:r w:rsidR="00E66362" w:rsidRPr="00E66362">
        <w:rPr>
          <w:rFonts w:ascii="Times New Roman" w:hAnsi="Times New Roman" w:cs="Times New Roman"/>
          <w:bCs/>
          <w:sz w:val="22"/>
          <w:szCs w:val="22"/>
          <w:lang w:val="en-GB"/>
        </w:rPr>
        <w:t>.</w:t>
      </w:r>
    </w:p>
    <w:p w14:paraId="2B08180A" w14:textId="5117FC40" w:rsidR="00896F9F" w:rsidRDefault="00896F9F" w:rsidP="00B83867">
      <w:pPr>
        <w:pStyle w:val="MBT"/>
        <w:spacing w:line="240" w:lineRule="exact"/>
      </w:pPr>
    </w:p>
    <w:p w14:paraId="5032593A" w14:textId="0CCC487C" w:rsidR="00ED2FC0" w:rsidRDefault="00896F9F" w:rsidP="00B83867">
      <w:pPr>
        <w:pStyle w:val="MBT"/>
        <w:spacing w:line="240" w:lineRule="exact"/>
        <w:rPr>
          <w:lang w:val="en-GB"/>
        </w:rPr>
      </w:pPr>
      <w:r>
        <w:rPr>
          <w:lang w:val="en-GB"/>
        </w:rPr>
        <w:t xml:space="preserve">No specific </w:t>
      </w:r>
      <w:r w:rsidRPr="00E842B7">
        <w:rPr>
          <w:b/>
          <w:lang w:val="en-GB"/>
        </w:rPr>
        <w:t>monitoring mechanisms</w:t>
      </w:r>
      <w:r>
        <w:rPr>
          <w:lang w:val="en-GB"/>
        </w:rPr>
        <w:t xml:space="preserve"> are in place and the MRVA has absolute discretion – its decisions are final and not subject to appeal.</w:t>
      </w:r>
      <w:r>
        <w:rPr>
          <w:rStyle w:val="FootnoteReference"/>
          <w:lang w:val="en-GB"/>
        </w:rPr>
        <w:footnoteReference w:id="28"/>
      </w:r>
      <w:r>
        <w:rPr>
          <w:lang w:val="en-GB"/>
        </w:rPr>
        <w:t xml:space="preserve"> As a public body, the MRVA is subject to the scrutiny of any Member of Parliament, the National Audit Office and the Public Accounts Committee.</w:t>
      </w:r>
      <w:r w:rsidR="00ED2FC0">
        <w:rPr>
          <w:lang w:val="en-GB"/>
        </w:rPr>
        <w:t xml:space="preserve"> Unlike for the IIP, no regulator exists</w:t>
      </w:r>
      <w:r w:rsidR="002523F2">
        <w:rPr>
          <w:lang w:val="en-GB"/>
        </w:rPr>
        <w:t xml:space="preserve"> and </w:t>
      </w:r>
      <w:r w:rsidR="009E0CAD">
        <w:rPr>
          <w:lang w:val="en-GB"/>
        </w:rPr>
        <w:t xml:space="preserve">there is </w:t>
      </w:r>
      <w:r w:rsidR="002523F2">
        <w:rPr>
          <w:lang w:val="en-GB"/>
        </w:rPr>
        <w:t>no annual reporting exercise</w:t>
      </w:r>
      <w:r w:rsidR="00ED2FC0">
        <w:rPr>
          <w:lang w:val="en-GB"/>
        </w:rPr>
        <w:t>.</w:t>
      </w:r>
    </w:p>
    <w:p w14:paraId="512A810E" w14:textId="77777777" w:rsidR="00E842B7" w:rsidRDefault="00E842B7" w:rsidP="00B83867">
      <w:pPr>
        <w:pStyle w:val="MBT"/>
        <w:spacing w:line="240" w:lineRule="exact"/>
      </w:pPr>
    </w:p>
    <w:p w14:paraId="4CB8C128" w14:textId="5BFF0AE7" w:rsidR="0079131C" w:rsidRDefault="00E842B7" w:rsidP="00B83867">
      <w:pPr>
        <w:pStyle w:val="MBT"/>
        <w:spacing w:line="240" w:lineRule="exact"/>
        <w:rPr>
          <w:lang w:val="en-GB"/>
        </w:rPr>
      </w:pPr>
      <w:r>
        <w:rPr>
          <w:lang w:val="en-GB"/>
        </w:rPr>
        <w:t xml:space="preserve">MRVP </w:t>
      </w:r>
      <w:r w:rsidR="0079131C">
        <w:rPr>
          <w:lang w:val="en-GB"/>
        </w:rPr>
        <w:t>beneficiaries</w:t>
      </w:r>
      <w:r>
        <w:rPr>
          <w:lang w:val="en-GB"/>
        </w:rPr>
        <w:t xml:space="preserve"> and their dependants are granted t</w:t>
      </w:r>
      <w:r w:rsidR="0003415D">
        <w:rPr>
          <w:lang w:val="en-GB"/>
        </w:rPr>
        <w:t>he</w:t>
      </w:r>
      <w:r>
        <w:rPr>
          <w:lang w:val="en-GB"/>
        </w:rPr>
        <w:t xml:space="preserve"> </w:t>
      </w:r>
      <w:r w:rsidRPr="0003415D">
        <w:rPr>
          <w:b/>
          <w:lang w:val="en-GB"/>
        </w:rPr>
        <w:t xml:space="preserve">right to reside, settle or stay </w:t>
      </w:r>
      <w:r w:rsidR="0079131C" w:rsidRPr="0003415D">
        <w:rPr>
          <w:b/>
          <w:lang w:val="en-GB"/>
        </w:rPr>
        <w:t>indefinitely</w:t>
      </w:r>
      <w:r w:rsidRPr="0003415D">
        <w:rPr>
          <w:b/>
          <w:lang w:val="en-GB"/>
        </w:rPr>
        <w:t xml:space="preserve"> in Malta</w:t>
      </w:r>
      <w:r w:rsidR="0079131C">
        <w:rPr>
          <w:lang w:val="en-GB"/>
        </w:rPr>
        <w:t xml:space="preserve"> and to</w:t>
      </w:r>
      <w:r w:rsidR="0079131C" w:rsidRPr="00CB200B">
        <w:rPr>
          <w:b/>
          <w:lang w:val="en-GB"/>
        </w:rPr>
        <w:t xml:space="preserve"> move around the countries in the Schengen Area</w:t>
      </w:r>
      <w:r w:rsidR="0079131C">
        <w:rPr>
          <w:lang w:val="en-GB"/>
        </w:rPr>
        <w:t xml:space="preserve"> without a visa for </w:t>
      </w:r>
      <w:r w:rsidR="0079131C" w:rsidRPr="00706F2B">
        <w:rPr>
          <w:lang w:val="en-GB"/>
        </w:rPr>
        <w:t>90 days in any 180-day</w:t>
      </w:r>
      <w:r w:rsidR="0079131C">
        <w:rPr>
          <w:lang w:val="en-GB"/>
        </w:rPr>
        <w:t xml:space="preserve"> period, subject to conditions.</w:t>
      </w:r>
      <w:r w:rsidR="0079131C">
        <w:rPr>
          <w:rStyle w:val="FootnoteReference"/>
          <w:lang w:val="en-GB"/>
        </w:rPr>
        <w:footnoteReference w:id="29"/>
      </w:r>
      <w:r w:rsidR="0003415D">
        <w:rPr>
          <w:lang w:val="en-GB"/>
        </w:rPr>
        <w:t xml:space="preserve"> </w:t>
      </w:r>
      <w:r w:rsidR="009E0CAD">
        <w:rPr>
          <w:lang w:val="en-GB"/>
        </w:rPr>
        <w:t>Beneficiaries</w:t>
      </w:r>
      <w:r w:rsidR="006173B2">
        <w:rPr>
          <w:lang w:val="en-GB"/>
        </w:rPr>
        <w:t xml:space="preserve"> and </w:t>
      </w:r>
      <w:r w:rsidR="009E0CAD">
        <w:rPr>
          <w:lang w:val="en-GB"/>
        </w:rPr>
        <w:t>their</w:t>
      </w:r>
      <w:r w:rsidR="0079131C">
        <w:rPr>
          <w:lang w:val="en-GB"/>
        </w:rPr>
        <w:t xml:space="preserve"> spouse</w:t>
      </w:r>
      <w:r w:rsidR="009E0CAD">
        <w:rPr>
          <w:lang w:val="en-GB"/>
        </w:rPr>
        <w:t>s</w:t>
      </w:r>
      <w:r w:rsidR="0079131C">
        <w:rPr>
          <w:lang w:val="en-GB"/>
        </w:rPr>
        <w:t xml:space="preserve"> </w:t>
      </w:r>
      <w:r w:rsidR="0003415D">
        <w:rPr>
          <w:lang w:val="en-GB"/>
        </w:rPr>
        <w:t>can</w:t>
      </w:r>
      <w:r w:rsidR="0079131C">
        <w:rPr>
          <w:lang w:val="en-GB"/>
        </w:rPr>
        <w:t xml:space="preserve"> </w:t>
      </w:r>
      <w:r w:rsidR="0079131C" w:rsidRPr="00CB200B">
        <w:rPr>
          <w:b/>
          <w:lang w:val="en-GB"/>
        </w:rPr>
        <w:t>apply for a</w:t>
      </w:r>
      <w:r w:rsidR="0079131C">
        <w:rPr>
          <w:b/>
          <w:lang w:val="en-GB"/>
        </w:rPr>
        <w:t xml:space="preserve">n employment licence </w:t>
      </w:r>
      <w:r w:rsidR="0079131C">
        <w:rPr>
          <w:lang w:val="en-GB"/>
        </w:rPr>
        <w:t>and</w:t>
      </w:r>
      <w:r w:rsidR="006173B2">
        <w:rPr>
          <w:lang w:val="en-GB"/>
        </w:rPr>
        <w:t xml:space="preserve"> </w:t>
      </w:r>
      <w:r w:rsidR="0079131C">
        <w:rPr>
          <w:lang w:val="en-GB"/>
        </w:rPr>
        <w:t xml:space="preserve">dependants </w:t>
      </w:r>
      <w:r w:rsidR="0003415D">
        <w:rPr>
          <w:lang w:val="en-GB"/>
        </w:rPr>
        <w:t>can</w:t>
      </w:r>
      <w:r w:rsidR="00827BCA">
        <w:rPr>
          <w:lang w:val="en-GB"/>
        </w:rPr>
        <w:t xml:space="preserve"> obtain free</w:t>
      </w:r>
      <w:r w:rsidR="0079131C">
        <w:rPr>
          <w:lang w:val="en-GB"/>
        </w:rPr>
        <w:t xml:space="preserve"> </w:t>
      </w:r>
      <w:r w:rsidR="0079131C" w:rsidRPr="00CB200B">
        <w:rPr>
          <w:b/>
          <w:lang w:val="en-GB"/>
        </w:rPr>
        <w:t>access</w:t>
      </w:r>
      <w:r w:rsidR="00827BCA">
        <w:rPr>
          <w:b/>
          <w:lang w:val="en-GB"/>
        </w:rPr>
        <w:t xml:space="preserve"> to</w:t>
      </w:r>
      <w:r w:rsidR="0003415D">
        <w:rPr>
          <w:b/>
          <w:lang w:val="en-GB"/>
        </w:rPr>
        <w:t xml:space="preserve"> </w:t>
      </w:r>
      <w:r w:rsidR="0079131C" w:rsidRPr="00CB200B">
        <w:rPr>
          <w:b/>
          <w:lang w:val="en-GB"/>
        </w:rPr>
        <w:t>educational institutions</w:t>
      </w:r>
      <w:r w:rsidR="0079131C">
        <w:rPr>
          <w:lang w:val="en-GB"/>
        </w:rPr>
        <w:t xml:space="preserve"> in Malta once the beneficiary </w:t>
      </w:r>
      <w:r w:rsidR="0079131C">
        <w:rPr>
          <w:lang w:val="en-GB"/>
        </w:rPr>
        <w:lastRenderedPageBreak/>
        <w:t>obtains the employment licence.</w:t>
      </w:r>
      <w:r w:rsidR="0079131C">
        <w:rPr>
          <w:rStyle w:val="FootnoteReference"/>
          <w:lang w:val="en-GB"/>
        </w:rPr>
        <w:footnoteReference w:id="30"/>
      </w:r>
      <w:r w:rsidR="0079131C">
        <w:rPr>
          <w:lang w:val="en-GB"/>
        </w:rPr>
        <w:t xml:space="preserve"> D</w:t>
      </w:r>
      <w:r w:rsidR="0079131C" w:rsidRPr="002E77CA">
        <w:rPr>
          <w:lang w:val="en-GB"/>
        </w:rPr>
        <w:t>ependants</w:t>
      </w:r>
      <w:r w:rsidR="0079131C">
        <w:rPr>
          <w:lang w:val="en-GB"/>
        </w:rPr>
        <w:t xml:space="preserve"> other than the spouse</w:t>
      </w:r>
      <w:r w:rsidR="0079131C" w:rsidRPr="002E77CA">
        <w:rPr>
          <w:lang w:val="en-GB"/>
        </w:rPr>
        <w:t xml:space="preserve"> </w:t>
      </w:r>
      <w:r w:rsidR="009E0CAD">
        <w:rPr>
          <w:lang w:val="en-GB"/>
        </w:rPr>
        <w:t>cannot</w:t>
      </w:r>
      <w:r w:rsidR="0079131C" w:rsidRPr="002E77CA">
        <w:rPr>
          <w:lang w:val="en-GB"/>
        </w:rPr>
        <w:t xml:space="preserve"> take up employment as they would no longer be considered ‘economically inactive’ under LN 288/2015</w:t>
      </w:r>
      <w:r w:rsidR="0079131C">
        <w:rPr>
          <w:lang w:val="en-GB"/>
        </w:rPr>
        <w:t xml:space="preserve">. </w:t>
      </w:r>
    </w:p>
    <w:p w14:paraId="66D6F405" w14:textId="77777777" w:rsidR="009A0292" w:rsidRDefault="009A0292" w:rsidP="00B83867">
      <w:pPr>
        <w:pStyle w:val="MBT"/>
        <w:spacing w:line="240" w:lineRule="exact"/>
      </w:pPr>
    </w:p>
    <w:p w14:paraId="2616E414" w14:textId="0736942D" w:rsidR="0013456F" w:rsidRPr="00FA6357" w:rsidRDefault="009A0292" w:rsidP="00B83867">
      <w:pPr>
        <w:pStyle w:val="MMultilevel"/>
        <w:numPr>
          <w:ilvl w:val="0"/>
          <w:numId w:val="0"/>
        </w:numPr>
        <w:spacing w:line="240" w:lineRule="exact"/>
        <w:rPr>
          <w:lang w:val="en-GB"/>
        </w:rPr>
      </w:pPr>
      <w:r>
        <w:rPr>
          <w:lang w:val="en-GB"/>
        </w:rPr>
        <w:t xml:space="preserve">Investors may also benefit from a </w:t>
      </w:r>
      <w:r>
        <w:rPr>
          <w:b/>
          <w:lang w:val="en-GB"/>
        </w:rPr>
        <w:t xml:space="preserve">special tax status through Malta’s </w:t>
      </w:r>
      <w:r w:rsidRPr="007865F9">
        <w:rPr>
          <w:b/>
          <w:lang w:val="en-GB"/>
        </w:rPr>
        <w:t>Global Residence Programme (GRP</w:t>
      </w:r>
      <w:r>
        <w:rPr>
          <w:b/>
          <w:lang w:val="en-GB"/>
        </w:rPr>
        <w:t>)</w:t>
      </w:r>
      <w:r>
        <w:rPr>
          <w:rStyle w:val="FootnoteReference"/>
          <w:lang w:val="en-GB"/>
        </w:rPr>
        <w:footnoteReference w:id="31"/>
      </w:r>
      <w:r w:rsidR="00D935DD">
        <w:rPr>
          <w:b/>
          <w:lang w:val="en-GB"/>
        </w:rPr>
        <w:t xml:space="preserve"> </w:t>
      </w:r>
      <w:r w:rsidR="00D935DD">
        <w:rPr>
          <w:lang w:val="en-GB"/>
        </w:rPr>
        <w:t xml:space="preserve">falling within the competence of the </w:t>
      </w:r>
      <w:r w:rsidR="00D935DD" w:rsidRPr="006173B2">
        <w:rPr>
          <w:b/>
          <w:lang w:val="en-GB"/>
        </w:rPr>
        <w:t>Commissioner for Revenue</w:t>
      </w:r>
      <w:r w:rsidR="00D935DD">
        <w:rPr>
          <w:lang w:val="en-GB"/>
        </w:rPr>
        <w:t>.</w:t>
      </w:r>
      <w:r>
        <w:rPr>
          <w:lang w:val="en-GB"/>
        </w:rPr>
        <w:t xml:space="preserve"> </w:t>
      </w:r>
      <w:r w:rsidRPr="00F6121A">
        <w:rPr>
          <w:lang w:val="en-GB"/>
        </w:rPr>
        <w:t xml:space="preserve">GRP </w:t>
      </w:r>
      <w:r>
        <w:rPr>
          <w:lang w:val="en-GB"/>
        </w:rPr>
        <w:t>applicants</w:t>
      </w:r>
      <w:r w:rsidR="00622D8C">
        <w:rPr>
          <w:lang w:val="en-GB"/>
        </w:rPr>
        <w:t xml:space="preserve"> </w:t>
      </w:r>
      <w:r w:rsidR="002F6D05">
        <w:rPr>
          <w:lang w:val="en-GB"/>
        </w:rPr>
        <w:t>must have:</w:t>
      </w:r>
      <w:r w:rsidRPr="00F6121A">
        <w:rPr>
          <w:lang w:val="en-GB"/>
        </w:rPr>
        <w:t xml:space="preserve"> stable and regular resources sufficient for maintaining </w:t>
      </w:r>
      <w:r w:rsidR="002F6D05">
        <w:rPr>
          <w:lang w:val="en-GB"/>
        </w:rPr>
        <w:t>themselves</w:t>
      </w:r>
      <w:r w:rsidRPr="00F6121A">
        <w:rPr>
          <w:lang w:val="en-GB"/>
        </w:rPr>
        <w:t xml:space="preserve"> and dependants without recourse to Malta’s social </w:t>
      </w:r>
      <w:r>
        <w:rPr>
          <w:lang w:val="en-GB"/>
        </w:rPr>
        <w:t>assistance system</w:t>
      </w:r>
      <w:r w:rsidRPr="00F6121A">
        <w:rPr>
          <w:lang w:val="en-GB"/>
        </w:rPr>
        <w:t xml:space="preserve">; a valid travel document; sickness insurance with coverage in the EU; knowledge of one of Malta’s official languages; and </w:t>
      </w:r>
      <w:r>
        <w:rPr>
          <w:lang w:val="en-GB"/>
        </w:rPr>
        <w:t xml:space="preserve">proof </w:t>
      </w:r>
      <w:r w:rsidR="002F6D05">
        <w:rPr>
          <w:lang w:val="en-GB"/>
        </w:rPr>
        <w:t>they are</w:t>
      </w:r>
      <w:r w:rsidRPr="00F6121A">
        <w:rPr>
          <w:lang w:val="en-GB"/>
        </w:rPr>
        <w:t xml:space="preserve"> fit and proper person</w:t>
      </w:r>
      <w:r w:rsidR="002F6D05">
        <w:rPr>
          <w:lang w:val="en-GB"/>
        </w:rPr>
        <w:t>s</w:t>
      </w:r>
      <w:r w:rsidRPr="00F6121A">
        <w:rPr>
          <w:lang w:val="en-GB"/>
        </w:rPr>
        <w:t>.</w:t>
      </w:r>
      <w:r w:rsidR="00622D8C">
        <w:rPr>
          <w:rStyle w:val="FootnoteReference"/>
          <w:lang w:val="en-GB"/>
        </w:rPr>
        <w:footnoteReference w:id="32"/>
      </w:r>
      <w:r w:rsidRPr="00F6121A">
        <w:rPr>
          <w:lang w:val="en-GB"/>
        </w:rPr>
        <w:t xml:space="preserve"> Investment requirements for the GRP </w:t>
      </w:r>
      <w:r>
        <w:rPr>
          <w:lang w:val="en-GB"/>
        </w:rPr>
        <w:t>consist of</w:t>
      </w:r>
      <w:r w:rsidRPr="00F6121A">
        <w:rPr>
          <w:lang w:val="en-GB"/>
        </w:rPr>
        <w:t xml:space="preserve"> the purchase of immovable property for at least EUR 275,000 (or EUR 220,000 if in </w:t>
      </w:r>
      <w:proofErr w:type="spellStart"/>
      <w:r w:rsidRPr="00F6121A">
        <w:rPr>
          <w:lang w:val="en-GB"/>
        </w:rPr>
        <w:t>Gozo</w:t>
      </w:r>
      <w:proofErr w:type="spellEnd"/>
      <w:r w:rsidRPr="00F6121A">
        <w:rPr>
          <w:lang w:val="en-GB"/>
        </w:rPr>
        <w:t xml:space="preserve"> or in the south of Malta) or annual rent of property for at least EUR 9,600 (or EUR 8,750 if in </w:t>
      </w:r>
      <w:proofErr w:type="spellStart"/>
      <w:r w:rsidRPr="00F6121A">
        <w:rPr>
          <w:lang w:val="en-GB"/>
        </w:rPr>
        <w:t>Gozo</w:t>
      </w:r>
      <w:proofErr w:type="spellEnd"/>
      <w:r w:rsidRPr="00F6121A">
        <w:rPr>
          <w:lang w:val="en-GB"/>
        </w:rPr>
        <w:t xml:space="preserve"> or in the south of Malta). </w:t>
      </w:r>
      <w:r w:rsidR="0013456F">
        <w:rPr>
          <w:lang w:val="en-GB"/>
        </w:rPr>
        <w:t xml:space="preserve">Through </w:t>
      </w:r>
      <w:r w:rsidR="00896F9F">
        <w:rPr>
          <w:lang w:val="en-GB"/>
        </w:rPr>
        <w:t>the GRP</w:t>
      </w:r>
      <w:r w:rsidR="00822C77">
        <w:rPr>
          <w:lang w:val="en-GB"/>
        </w:rPr>
        <w:t>,</w:t>
      </w:r>
      <w:r w:rsidR="0013456F">
        <w:rPr>
          <w:lang w:val="en-GB"/>
        </w:rPr>
        <w:t xml:space="preserve"> investors obtain the </w:t>
      </w:r>
      <w:r w:rsidR="0013456F" w:rsidRPr="003F43AE">
        <w:rPr>
          <w:lang w:val="en-GB"/>
        </w:rPr>
        <w:t xml:space="preserve">right to pay tax at the rate of </w:t>
      </w:r>
      <w:r w:rsidR="0013456F" w:rsidRPr="00FA6357">
        <w:rPr>
          <w:lang w:val="en-GB"/>
        </w:rPr>
        <w:t xml:space="preserve">15 </w:t>
      </w:r>
      <w:proofErr w:type="gramStart"/>
      <w:r w:rsidR="0013456F" w:rsidRPr="00FA6357">
        <w:rPr>
          <w:lang w:val="en-GB"/>
        </w:rPr>
        <w:t>percent</w:t>
      </w:r>
      <w:proofErr w:type="gramEnd"/>
      <w:r w:rsidR="0013456F" w:rsidRPr="00FA6357">
        <w:rPr>
          <w:lang w:val="en-GB"/>
        </w:rPr>
        <w:t xml:space="preserve"> </w:t>
      </w:r>
      <w:r w:rsidR="0013456F">
        <w:rPr>
          <w:lang w:val="en-GB"/>
        </w:rPr>
        <w:t>but the GRP</w:t>
      </w:r>
      <w:r w:rsidR="0013456F" w:rsidRPr="00C223FA">
        <w:rPr>
          <w:lang w:val="en-GB"/>
        </w:rPr>
        <w:t xml:space="preserve"> </w:t>
      </w:r>
      <w:r w:rsidR="0013456F" w:rsidRPr="00E3343A">
        <w:rPr>
          <w:b/>
          <w:lang w:val="en-GB"/>
        </w:rPr>
        <w:t>does not in itself grant residence rights</w:t>
      </w:r>
      <w:r w:rsidR="0013456F" w:rsidRPr="00C223FA">
        <w:rPr>
          <w:lang w:val="en-GB"/>
        </w:rPr>
        <w:t xml:space="preserve"> to </w:t>
      </w:r>
      <w:r w:rsidR="0013456F">
        <w:rPr>
          <w:lang w:val="en-GB"/>
        </w:rPr>
        <w:t>its</w:t>
      </w:r>
      <w:r w:rsidR="0013456F" w:rsidRPr="00C223FA">
        <w:rPr>
          <w:lang w:val="en-GB"/>
        </w:rPr>
        <w:t xml:space="preserve"> beneficiaries</w:t>
      </w:r>
      <w:r w:rsidR="00C41217">
        <w:rPr>
          <w:lang w:val="en-GB"/>
        </w:rPr>
        <w:t>.</w:t>
      </w:r>
      <w:r w:rsidR="009E0CAD">
        <w:rPr>
          <w:lang w:val="en-GB"/>
        </w:rPr>
        <w:t xml:space="preserve"> No residence card is issued under the GRP itself.</w:t>
      </w:r>
      <w:r w:rsidR="008F7BBE">
        <w:rPr>
          <w:lang w:val="en-GB"/>
        </w:rPr>
        <w:t xml:space="preserve"> </w:t>
      </w:r>
      <w:r w:rsidR="00D935DD" w:rsidRPr="00C9475A">
        <w:rPr>
          <w:b/>
          <w:lang w:val="en-GB"/>
        </w:rPr>
        <w:t>GRP b</w:t>
      </w:r>
      <w:r w:rsidR="0013456F" w:rsidRPr="00C9475A">
        <w:rPr>
          <w:b/>
          <w:lang w:val="en-GB"/>
        </w:rPr>
        <w:t>eneficiaries can apply for a residence certificate under the MRVP</w:t>
      </w:r>
      <w:r w:rsidR="0013456F" w:rsidRPr="00346D85">
        <w:rPr>
          <w:lang w:val="en-GB"/>
        </w:rPr>
        <w:t xml:space="preserve"> if they satisfy the additional eligibility requirements of LN 288/2015.</w:t>
      </w:r>
      <w:r w:rsidR="0013456F" w:rsidRPr="00346D85">
        <w:rPr>
          <w:rStyle w:val="FootnoteReference"/>
          <w:lang w:val="en-GB"/>
        </w:rPr>
        <w:footnoteReference w:id="33"/>
      </w:r>
      <w:r w:rsidR="0013456F" w:rsidRPr="00346D85">
        <w:rPr>
          <w:lang w:val="en-GB"/>
        </w:rPr>
        <w:t xml:space="preserve"> Alternatively, GRP </w:t>
      </w:r>
      <w:r w:rsidR="008F7BBE">
        <w:rPr>
          <w:lang w:val="en-GB"/>
        </w:rPr>
        <w:t xml:space="preserve">beneficiaries </w:t>
      </w:r>
      <w:r w:rsidR="0013456F" w:rsidRPr="00346D85">
        <w:rPr>
          <w:lang w:val="en-GB"/>
        </w:rPr>
        <w:t xml:space="preserve">may apply for a </w:t>
      </w:r>
      <w:r w:rsidR="0013456F" w:rsidRPr="007C0C0B">
        <w:rPr>
          <w:lang w:val="en-GB"/>
        </w:rPr>
        <w:t>uniform</w:t>
      </w:r>
      <w:r w:rsidR="0013456F" w:rsidRPr="00346D85">
        <w:rPr>
          <w:lang w:val="en-GB"/>
        </w:rPr>
        <w:t xml:space="preserve"> residence permit</w:t>
      </w:r>
      <w:r w:rsidR="008F7BBE">
        <w:rPr>
          <w:lang w:val="en-GB"/>
        </w:rPr>
        <w:t xml:space="preserve"> issued for a specific purpose</w:t>
      </w:r>
      <w:r w:rsidR="0013456F" w:rsidRPr="00346D85">
        <w:rPr>
          <w:lang w:val="en-GB"/>
        </w:rPr>
        <w:t xml:space="preserve"> under</w:t>
      </w:r>
      <w:r w:rsidR="0013456F" w:rsidRPr="007C0C0B">
        <w:rPr>
          <w:lang w:val="en-GB"/>
        </w:rPr>
        <w:t xml:space="preserve"> the Immigration Regulations</w:t>
      </w:r>
      <w:r w:rsidR="008F7BBE">
        <w:rPr>
          <w:lang w:val="en-GB"/>
        </w:rPr>
        <w:t>.</w:t>
      </w:r>
      <w:r w:rsidR="0013456F" w:rsidRPr="00346D85">
        <w:rPr>
          <w:rStyle w:val="FootnoteReference"/>
          <w:lang w:val="en-GB"/>
        </w:rPr>
        <w:footnoteReference w:id="34"/>
      </w:r>
      <w:r w:rsidR="0013456F" w:rsidRPr="007C0C0B">
        <w:t xml:space="preserve"> </w:t>
      </w:r>
    </w:p>
    <w:p w14:paraId="5902255C" w14:textId="77777777" w:rsidR="008F7BBE" w:rsidRPr="008F7BBE" w:rsidRDefault="008F7BBE" w:rsidP="00B83867">
      <w:pPr>
        <w:pStyle w:val="MBT"/>
        <w:spacing w:line="240" w:lineRule="exact"/>
        <w:rPr>
          <w:b/>
          <w:i/>
          <w:lang w:val="en-GB"/>
        </w:rPr>
      </w:pPr>
    </w:p>
    <w:p w14:paraId="2BFFF788" w14:textId="41BC0882" w:rsidR="0025572E" w:rsidRPr="002661B3" w:rsidRDefault="0025572E" w:rsidP="00B83867">
      <w:pPr>
        <w:pStyle w:val="MBT"/>
        <w:spacing w:line="240" w:lineRule="exact"/>
        <w:rPr>
          <w:b/>
          <w:i/>
          <w:lang w:val="en-GB"/>
        </w:rPr>
      </w:pPr>
      <w:r w:rsidRPr="002661B3">
        <w:rPr>
          <w:b/>
          <w:i/>
          <w:lang w:val="en-GB"/>
        </w:rPr>
        <w:t>Economic impact</w:t>
      </w:r>
      <w:r>
        <w:rPr>
          <w:b/>
          <w:i/>
          <w:lang w:val="en-GB"/>
        </w:rPr>
        <w:t xml:space="preserve"> of the schemes</w:t>
      </w:r>
    </w:p>
    <w:p w14:paraId="0D29D628" w14:textId="77777777" w:rsidR="009E0CAD" w:rsidRDefault="009E0CAD" w:rsidP="00B83867">
      <w:pPr>
        <w:pStyle w:val="MBT"/>
        <w:spacing w:line="240" w:lineRule="exact"/>
        <w:rPr>
          <w:lang w:val="en-GB"/>
        </w:rPr>
      </w:pPr>
    </w:p>
    <w:p w14:paraId="51639E6B" w14:textId="57E4F9B2" w:rsidR="006D595F" w:rsidRDefault="006D595F" w:rsidP="00B83867">
      <w:pPr>
        <w:pStyle w:val="MBT"/>
        <w:spacing w:line="240" w:lineRule="exact"/>
        <w:rPr>
          <w:lang w:val="en-GB"/>
        </w:rPr>
      </w:pPr>
      <w:r>
        <w:rPr>
          <w:lang w:val="en-GB"/>
        </w:rPr>
        <w:t>Since 2015, the</w:t>
      </w:r>
      <w:r w:rsidR="009321CF">
        <w:rPr>
          <w:lang w:val="en-GB"/>
        </w:rPr>
        <w:t xml:space="preserve"> </w:t>
      </w:r>
      <w:proofErr w:type="spellStart"/>
      <w:r w:rsidR="009321CF" w:rsidRPr="002661B3">
        <w:rPr>
          <w:b/>
          <w:lang w:val="en-GB"/>
        </w:rPr>
        <w:t>ORiip’s</w:t>
      </w:r>
      <w:proofErr w:type="spellEnd"/>
      <w:r>
        <w:rPr>
          <w:lang w:val="en-GB"/>
        </w:rPr>
        <w:t xml:space="preserve"> </w:t>
      </w:r>
      <w:r w:rsidR="00E25560">
        <w:rPr>
          <w:b/>
          <w:lang w:val="en-GB"/>
        </w:rPr>
        <w:t xml:space="preserve">annual </w:t>
      </w:r>
      <w:r w:rsidR="00C41217" w:rsidRPr="009E0CAD">
        <w:rPr>
          <w:b/>
          <w:lang w:val="en-GB"/>
        </w:rPr>
        <w:t>reports</w:t>
      </w:r>
      <w:r w:rsidRPr="009E0CAD">
        <w:rPr>
          <w:b/>
          <w:lang w:val="en-GB"/>
        </w:rPr>
        <w:t xml:space="preserve"> </w:t>
      </w:r>
      <w:r w:rsidR="00E25560">
        <w:rPr>
          <w:b/>
          <w:lang w:val="en-GB"/>
        </w:rPr>
        <w:t>cover</w:t>
      </w:r>
      <w:r w:rsidRPr="00E25560">
        <w:rPr>
          <w:b/>
          <w:lang w:val="en-GB"/>
        </w:rPr>
        <w:t xml:space="preserve"> the </w:t>
      </w:r>
      <w:r w:rsidR="00C41217" w:rsidRPr="00E25560">
        <w:rPr>
          <w:b/>
          <w:lang w:val="en-GB"/>
        </w:rPr>
        <w:t xml:space="preserve">IIP’s </w:t>
      </w:r>
      <w:r w:rsidRPr="00E25560">
        <w:rPr>
          <w:b/>
          <w:lang w:val="en-GB"/>
        </w:rPr>
        <w:t>economic impact</w:t>
      </w:r>
      <w:r>
        <w:rPr>
          <w:lang w:val="en-GB"/>
        </w:rPr>
        <w:t>. The comparison of d</w:t>
      </w:r>
      <w:r w:rsidR="00E25560">
        <w:rPr>
          <w:lang w:val="en-GB"/>
        </w:rPr>
        <w:t xml:space="preserve">ata from the three </w:t>
      </w:r>
      <w:r>
        <w:rPr>
          <w:lang w:val="en-GB"/>
        </w:rPr>
        <w:t>reports where figures are available indicate</w:t>
      </w:r>
      <w:r w:rsidR="00BB1743">
        <w:rPr>
          <w:lang w:val="en-GB"/>
        </w:rPr>
        <w:t>s</w:t>
      </w:r>
      <w:r>
        <w:rPr>
          <w:lang w:val="en-GB"/>
        </w:rPr>
        <w:t xml:space="preserve"> that the IIP’s contribution to Malta</w:t>
      </w:r>
      <w:r w:rsidR="00C41217">
        <w:rPr>
          <w:lang w:val="en-GB"/>
        </w:rPr>
        <w:t>’s GDP</w:t>
      </w:r>
      <w:r>
        <w:rPr>
          <w:lang w:val="en-GB"/>
        </w:rPr>
        <w:t xml:space="preserve"> increased from 0.75% in June 2015 to 3.72% in June 2017. In 2016, </w:t>
      </w:r>
      <w:r w:rsidRPr="001D6EB4">
        <w:rPr>
          <w:lang w:val="en-GB"/>
        </w:rPr>
        <w:t xml:space="preserve">the media pointed to data indicating that the IIP was the </w:t>
      </w:r>
      <w:r w:rsidR="006173B2">
        <w:rPr>
          <w:lang w:val="en-GB"/>
        </w:rPr>
        <w:t xml:space="preserve">largest </w:t>
      </w:r>
      <w:r w:rsidRPr="001D6EB4">
        <w:rPr>
          <w:lang w:val="en-GB"/>
        </w:rPr>
        <w:t xml:space="preserve">contributor to the government’s surplus. The </w:t>
      </w:r>
      <w:r w:rsidRPr="00607DF1">
        <w:rPr>
          <w:lang w:val="en-GB"/>
        </w:rPr>
        <w:t xml:space="preserve">International Monetary Fund </w:t>
      </w:r>
      <w:r w:rsidR="00C47FEC">
        <w:rPr>
          <w:lang w:val="en-GB"/>
        </w:rPr>
        <w:t xml:space="preserve">observed </w:t>
      </w:r>
      <w:r w:rsidRPr="00607DF1">
        <w:rPr>
          <w:lang w:val="en-GB"/>
        </w:rPr>
        <w:t xml:space="preserve">that </w:t>
      </w:r>
      <w:r w:rsidR="000E3E2E">
        <w:rPr>
          <w:lang w:val="en-GB"/>
        </w:rPr>
        <w:t>attaining</w:t>
      </w:r>
      <w:r w:rsidRPr="00607DF1">
        <w:rPr>
          <w:lang w:val="en-GB"/>
        </w:rPr>
        <w:t xml:space="preserve"> medium-term financial objectives depend</w:t>
      </w:r>
      <w:r w:rsidR="0003415D">
        <w:rPr>
          <w:lang w:val="en-GB"/>
        </w:rPr>
        <w:t>s</w:t>
      </w:r>
      <w:r w:rsidR="003206BD">
        <w:rPr>
          <w:lang w:val="en-GB"/>
        </w:rPr>
        <w:t xml:space="preserve"> </w:t>
      </w:r>
      <w:r w:rsidRPr="00607DF1">
        <w:rPr>
          <w:lang w:val="en-GB"/>
        </w:rPr>
        <w:t>partly on IIP revenues</w:t>
      </w:r>
      <w:r w:rsidR="00C47FEC">
        <w:rPr>
          <w:lang w:val="en-GB"/>
        </w:rPr>
        <w:t xml:space="preserve"> and warned</w:t>
      </w:r>
      <w:r w:rsidR="0003415D">
        <w:rPr>
          <w:lang w:val="en-GB"/>
        </w:rPr>
        <w:t xml:space="preserve"> </w:t>
      </w:r>
      <w:r w:rsidRPr="00607DF1">
        <w:rPr>
          <w:lang w:val="en-GB"/>
        </w:rPr>
        <w:t xml:space="preserve">of the </w:t>
      </w:r>
      <w:r w:rsidR="006173B2">
        <w:rPr>
          <w:lang w:val="en-GB"/>
        </w:rPr>
        <w:t>IIP</w:t>
      </w:r>
      <w:r w:rsidR="0003415D">
        <w:rPr>
          <w:lang w:val="en-GB"/>
        </w:rPr>
        <w:t xml:space="preserve">’s </w:t>
      </w:r>
      <w:r w:rsidRPr="00607DF1">
        <w:rPr>
          <w:lang w:val="en-GB"/>
        </w:rPr>
        <w:t xml:space="preserve">potential to distort the </w:t>
      </w:r>
      <w:r w:rsidR="006173B2">
        <w:rPr>
          <w:lang w:val="en-GB"/>
        </w:rPr>
        <w:t>housing market</w:t>
      </w:r>
      <w:r w:rsidRPr="00607DF1">
        <w:rPr>
          <w:lang w:val="en-GB"/>
        </w:rPr>
        <w:t xml:space="preserve"> and </w:t>
      </w:r>
      <w:r w:rsidR="0003415D">
        <w:rPr>
          <w:lang w:val="en-GB"/>
        </w:rPr>
        <w:t>of</w:t>
      </w:r>
      <w:r w:rsidRPr="00607DF1">
        <w:rPr>
          <w:lang w:val="en-GB"/>
        </w:rPr>
        <w:t xml:space="preserve"> risks associated with money laundering.</w:t>
      </w:r>
      <w:r w:rsidRPr="00607DF1">
        <w:rPr>
          <w:rStyle w:val="FootnoteReference"/>
          <w:lang w:val="en-GB"/>
        </w:rPr>
        <w:footnoteReference w:id="35"/>
      </w:r>
    </w:p>
    <w:p w14:paraId="75C14569" w14:textId="55A37DDA" w:rsidR="006D595F" w:rsidRDefault="006D595F" w:rsidP="00B83867">
      <w:pPr>
        <w:pStyle w:val="MBT"/>
        <w:spacing w:line="240" w:lineRule="exact"/>
        <w:rPr>
          <w:lang w:val="en-GB"/>
        </w:rPr>
      </w:pPr>
    </w:p>
    <w:p w14:paraId="71742FFF" w14:textId="2DD3C054" w:rsidR="00E25560" w:rsidRDefault="00E25560" w:rsidP="00B83867">
      <w:pPr>
        <w:pStyle w:val="MBT"/>
        <w:spacing w:line="240" w:lineRule="exact"/>
      </w:pPr>
      <w:r w:rsidRPr="0044090D">
        <w:rPr>
          <w:lang w:val="en-GB"/>
        </w:rPr>
        <w:t xml:space="preserve">Seventy per cent of the </w:t>
      </w:r>
      <w:r w:rsidR="00701FD5">
        <w:rPr>
          <w:lang w:val="en-GB"/>
        </w:rPr>
        <w:t xml:space="preserve">IIP </w:t>
      </w:r>
      <w:r w:rsidRPr="0044090D">
        <w:rPr>
          <w:lang w:val="en-GB"/>
        </w:rPr>
        <w:t xml:space="preserve">contributions received by Identity Malta must be paid into </w:t>
      </w:r>
      <w:r w:rsidR="00701FD5" w:rsidRPr="0044090D">
        <w:rPr>
          <w:lang w:val="en-GB"/>
        </w:rPr>
        <w:t xml:space="preserve">the </w:t>
      </w:r>
      <w:r w:rsidR="00701FD5" w:rsidRPr="006173B2">
        <w:rPr>
          <w:b/>
          <w:lang w:val="en-GB"/>
        </w:rPr>
        <w:t>National Development and Social Fund</w:t>
      </w:r>
      <w:r w:rsidR="00701FD5" w:rsidRPr="0044090D">
        <w:rPr>
          <w:lang w:val="en-GB"/>
        </w:rPr>
        <w:t xml:space="preserve"> </w:t>
      </w:r>
      <w:r w:rsidR="00701FD5">
        <w:rPr>
          <w:lang w:val="en-GB"/>
        </w:rPr>
        <w:t>(</w:t>
      </w:r>
      <w:r w:rsidR="00CE6C8A">
        <w:rPr>
          <w:lang w:val="en-GB"/>
        </w:rPr>
        <w:t xml:space="preserve">NDSF, </w:t>
      </w:r>
      <w:r w:rsidR="00701FD5">
        <w:rPr>
          <w:lang w:val="en-GB"/>
        </w:rPr>
        <w:t xml:space="preserve">established by </w:t>
      </w:r>
      <w:r w:rsidR="00701FD5" w:rsidRPr="0044090D">
        <w:rPr>
          <w:lang w:val="en-GB"/>
        </w:rPr>
        <w:t>LN 47/2014</w:t>
      </w:r>
      <w:r w:rsidR="00701FD5">
        <w:rPr>
          <w:lang w:val="en-GB"/>
        </w:rPr>
        <w:t>)</w:t>
      </w:r>
      <w:r w:rsidR="00701FD5" w:rsidRPr="0044090D">
        <w:rPr>
          <w:lang w:val="en-GB"/>
        </w:rPr>
        <w:t xml:space="preserve"> </w:t>
      </w:r>
      <w:r w:rsidRPr="0044090D">
        <w:rPr>
          <w:lang w:val="en-GB"/>
        </w:rPr>
        <w:t>a</w:t>
      </w:r>
      <w:r>
        <w:rPr>
          <w:lang w:val="en-GB"/>
        </w:rPr>
        <w:t>nd used in the public interest</w:t>
      </w:r>
      <w:r w:rsidR="002661B3">
        <w:rPr>
          <w:lang w:val="en-GB"/>
        </w:rPr>
        <w:t xml:space="preserve"> </w:t>
      </w:r>
      <w:r w:rsidR="002661B3" w:rsidRPr="0044090D">
        <w:rPr>
          <w:lang w:val="en-GB"/>
        </w:rPr>
        <w:t>e.g. for the advancement of education</w:t>
      </w:r>
      <w:r w:rsidR="00716EC9">
        <w:rPr>
          <w:lang w:val="en-GB"/>
        </w:rPr>
        <w:t xml:space="preserve">, </w:t>
      </w:r>
      <w:r w:rsidR="002661B3" w:rsidRPr="0044090D">
        <w:rPr>
          <w:lang w:val="en-GB"/>
        </w:rPr>
        <w:t>the environment and public health</w:t>
      </w:r>
      <w:r w:rsidR="002661B3">
        <w:rPr>
          <w:lang w:val="en-GB"/>
        </w:rPr>
        <w:t>.</w:t>
      </w:r>
      <w:r w:rsidR="002661B3" w:rsidRPr="0044090D">
        <w:rPr>
          <w:rStyle w:val="FootnoteReference"/>
          <w:lang w:val="en-GB"/>
        </w:rPr>
        <w:footnoteReference w:id="36"/>
      </w:r>
      <w:r w:rsidRPr="0044090D">
        <w:rPr>
          <w:lang w:val="en-GB"/>
        </w:rPr>
        <w:t xml:space="preserve"> </w:t>
      </w:r>
      <w:r>
        <w:rPr>
          <w:lang w:val="en-GB"/>
        </w:rPr>
        <w:t xml:space="preserve">The remaining part goes to the Consolidated Fund established by the Constitution of Malta. </w:t>
      </w:r>
      <w:r w:rsidR="00827BCA">
        <w:rPr>
          <w:lang w:val="en-GB"/>
        </w:rPr>
        <w:t xml:space="preserve">This </w:t>
      </w:r>
      <w:r w:rsidR="00896F9F">
        <w:rPr>
          <w:lang w:val="en-GB"/>
        </w:rPr>
        <w:t>F</w:t>
      </w:r>
      <w:r w:rsidR="00827BCA">
        <w:rPr>
          <w:lang w:val="en-GB"/>
        </w:rPr>
        <w:t xml:space="preserve">und also receives the </w:t>
      </w:r>
      <w:r>
        <w:rPr>
          <w:lang w:val="en-GB"/>
        </w:rPr>
        <w:t>net surplus of funds from the</w:t>
      </w:r>
      <w:r w:rsidR="00701FD5">
        <w:rPr>
          <w:lang w:val="en-GB"/>
        </w:rPr>
        <w:t xml:space="preserve"> MRVP</w:t>
      </w:r>
      <w:r>
        <w:rPr>
          <w:lang w:val="en-GB"/>
        </w:rPr>
        <w:t xml:space="preserve"> contributions</w:t>
      </w:r>
      <w:r>
        <w:t>.</w:t>
      </w:r>
      <w:r>
        <w:rPr>
          <w:rStyle w:val="FootnoteReference"/>
        </w:rPr>
        <w:footnoteReference w:id="37"/>
      </w:r>
      <w:r w:rsidR="00623A01">
        <w:t xml:space="preserve"> </w:t>
      </w:r>
    </w:p>
    <w:p w14:paraId="56B58F2D" w14:textId="77777777" w:rsidR="00622D8C" w:rsidRDefault="00622D8C" w:rsidP="00B83867">
      <w:pPr>
        <w:pStyle w:val="MBT"/>
        <w:spacing w:line="240" w:lineRule="exact"/>
        <w:rPr>
          <w:lang w:val="en-GB"/>
        </w:rPr>
      </w:pPr>
    </w:p>
    <w:p w14:paraId="1290C57C" w14:textId="3A05EAC1" w:rsidR="002923D5" w:rsidRDefault="002923D5" w:rsidP="00B83867">
      <w:pPr>
        <w:pStyle w:val="MBT"/>
        <w:spacing w:line="240" w:lineRule="exact"/>
        <w:rPr>
          <w:lang w:val="en-GB"/>
        </w:rPr>
      </w:pPr>
      <w:r w:rsidRPr="0001209F">
        <w:rPr>
          <w:lang w:val="en-GB"/>
        </w:rPr>
        <w:t>IIP applicant</w:t>
      </w:r>
      <w:r w:rsidR="0003415D">
        <w:rPr>
          <w:lang w:val="en-GB"/>
        </w:rPr>
        <w:t>s must</w:t>
      </w:r>
      <w:r w:rsidRPr="0001209F">
        <w:rPr>
          <w:lang w:val="en-GB"/>
        </w:rPr>
        <w:t xml:space="preserve"> </w:t>
      </w:r>
      <w:r w:rsidR="00C47FEC">
        <w:rPr>
          <w:lang w:val="en-GB"/>
        </w:rPr>
        <w:t>invest at least</w:t>
      </w:r>
      <w:r>
        <w:rPr>
          <w:lang w:val="en-GB"/>
        </w:rPr>
        <w:t xml:space="preserve"> EUR 150,000 in </w:t>
      </w:r>
      <w:r w:rsidR="00C47FEC">
        <w:rPr>
          <w:lang w:val="en-GB"/>
        </w:rPr>
        <w:t xml:space="preserve">government </w:t>
      </w:r>
      <w:r>
        <w:rPr>
          <w:lang w:val="en-GB"/>
        </w:rPr>
        <w:t>stocks</w:t>
      </w:r>
      <w:r w:rsidR="003C2955">
        <w:rPr>
          <w:lang w:val="en-GB"/>
        </w:rPr>
        <w:t xml:space="preserve"> meaning a</w:t>
      </w:r>
      <w:r w:rsidRPr="0001209F">
        <w:rPr>
          <w:lang w:val="en-GB"/>
        </w:rPr>
        <w:t xml:space="preserve"> total </w:t>
      </w:r>
      <w:r w:rsidR="003C2955">
        <w:rPr>
          <w:lang w:val="en-GB"/>
        </w:rPr>
        <w:t xml:space="preserve">of </w:t>
      </w:r>
      <w:r w:rsidR="003C2955" w:rsidRPr="00D663C1">
        <w:rPr>
          <w:b/>
          <w:lang w:val="en-GB"/>
        </w:rPr>
        <w:t>EUR</w:t>
      </w:r>
      <w:r w:rsidR="003C2955">
        <w:rPr>
          <w:lang w:val="en-GB"/>
        </w:rPr>
        <w:t xml:space="preserve"> </w:t>
      </w:r>
      <w:r w:rsidR="003C2955" w:rsidRPr="00D663C1">
        <w:rPr>
          <w:b/>
          <w:lang w:val="en-GB"/>
        </w:rPr>
        <w:t>85,873,164.71</w:t>
      </w:r>
      <w:r w:rsidR="003C2955">
        <w:rPr>
          <w:lang w:val="en-GB"/>
        </w:rPr>
        <w:t xml:space="preserve"> </w:t>
      </w:r>
      <w:r>
        <w:rPr>
          <w:lang w:val="en-GB"/>
        </w:rPr>
        <w:t>between</w:t>
      </w:r>
      <w:r w:rsidRPr="0001209F">
        <w:rPr>
          <w:lang w:val="en-GB"/>
        </w:rPr>
        <w:t xml:space="preserve"> the start of the</w:t>
      </w:r>
      <w:r>
        <w:rPr>
          <w:lang w:val="en-GB"/>
        </w:rPr>
        <w:t xml:space="preserve"> </w:t>
      </w:r>
      <w:r w:rsidR="003C2955">
        <w:rPr>
          <w:lang w:val="en-GB"/>
        </w:rPr>
        <w:t xml:space="preserve">IIP </w:t>
      </w:r>
      <w:r>
        <w:rPr>
          <w:lang w:val="en-GB"/>
        </w:rPr>
        <w:t>and 30 June 2017</w:t>
      </w:r>
      <w:r w:rsidRPr="0001209F">
        <w:rPr>
          <w:lang w:val="en-GB"/>
        </w:rPr>
        <w:t>.</w:t>
      </w:r>
      <w:r>
        <w:rPr>
          <w:lang w:val="en-GB"/>
        </w:rPr>
        <w:t xml:space="preserve"> </w:t>
      </w:r>
      <w:r w:rsidRPr="00DC771C">
        <w:rPr>
          <w:lang w:val="en-GB"/>
        </w:rPr>
        <w:t xml:space="preserve">All the </w:t>
      </w:r>
      <w:r w:rsidRPr="00C47FEC">
        <w:rPr>
          <w:b/>
          <w:lang w:val="en-GB"/>
        </w:rPr>
        <w:t>pecuniary contributions to the IIP</w:t>
      </w:r>
      <w:r w:rsidRPr="00DC771C">
        <w:rPr>
          <w:lang w:val="en-GB"/>
        </w:rPr>
        <w:t xml:space="preserve">, including property purchases and rent, investments and contributions from the start of the </w:t>
      </w:r>
      <w:r w:rsidR="00822C77">
        <w:rPr>
          <w:lang w:val="en-GB"/>
        </w:rPr>
        <w:t>IIP</w:t>
      </w:r>
      <w:r w:rsidRPr="00DC771C">
        <w:rPr>
          <w:lang w:val="en-GB"/>
        </w:rPr>
        <w:t xml:space="preserve"> until 30 June </w:t>
      </w:r>
      <w:r w:rsidRPr="00DF3103">
        <w:rPr>
          <w:lang w:val="en-GB"/>
        </w:rPr>
        <w:t xml:space="preserve">2017 amounted to </w:t>
      </w:r>
      <w:r w:rsidRPr="002661B3">
        <w:rPr>
          <w:b/>
          <w:lang w:val="en-GB"/>
        </w:rPr>
        <w:t>EUR</w:t>
      </w:r>
      <w:r w:rsidRPr="00DF3103">
        <w:rPr>
          <w:lang w:val="en-GB"/>
        </w:rPr>
        <w:t xml:space="preserve"> </w:t>
      </w:r>
      <w:r w:rsidRPr="009E0CAD">
        <w:rPr>
          <w:b/>
          <w:lang w:val="en-GB"/>
        </w:rPr>
        <w:t>509,375,000,</w:t>
      </w:r>
      <w:r w:rsidRPr="00DF3103">
        <w:rPr>
          <w:lang w:val="en-GB"/>
        </w:rPr>
        <w:t xml:space="preserve"> distributed as follows: EUR 249,328,799 the </w:t>
      </w:r>
      <w:r w:rsidR="00CE6C8A">
        <w:rPr>
          <w:lang w:val="en-GB"/>
        </w:rPr>
        <w:t>NDSF</w:t>
      </w:r>
      <w:r w:rsidRPr="00DF3103">
        <w:rPr>
          <w:lang w:val="en-GB"/>
        </w:rPr>
        <w:t>; EUR 106,855,199 the Consolidated Fund; EUR 23,701,500 Identity Malta; EUR 19,054,000 Henley &amp; Partners</w:t>
      </w:r>
      <w:r w:rsidR="0025572E">
        <w:rPr>
          <w:lang w:val="en-GB"/>
        </w:rPr>
        <w:t xml:space="preserve"> (the concessionaire)</w:t>
      </w:r>
      <w:r w:rsidRPr="00DF3103">
        <w:rPr>
          <w:lang w:val="en-GB"/>
        </w:rPr>
        <w:t xml:space="preserve">, while EUR 110,435,502 was pending </w:t>
      </w:r>
      <w:r w:rsidR="00827BCA">
        <w:rPr>
          <w:lang w:val="en-GB"/>
        </w:rPr>
        <w:t>distribution in June 2017</w:t>
      </w:r>
      <w:r w:rsidRPr="00DF3103">
        <w:rPr>
          <w:lang w:val="en-GB"/>
        </w:rPr>
        <w:t>.</w:t>
      </w:r>
      <w:r w:rsidRPr="00DF3103">
        <w:rPr>
          <w:rStyle w:val="FootnoteReference"/>
          <w:lang w:val="en-GB"/>
        </w:rPr>
        <w:footnoteReference w:id="38"/>
      </w:r>
      <w:r>
        <w:rPr>
          <w:lang w:val="en-GB"/>
        </w:rPr>
        <w:t xml:space="preserve"> </w:t>
      </w:r>
    </w:p>
    <w:p w14:paraId="56F4CEBB" w14:textId="36293D13" w:rsidR="002923D5" w:rsidRDefault="002923D5" w:rsidP="00B83867">
      <w:pPr>
        <w:pStyle w:val="MBT"/>
        <w:spacing w:line="240" w:lineRule="exact"/>
        <w:rPr>
          <w:lang w:val="en-GB"/>
        </w:rPr>
      </w:pPr>
    </w:p>
    <w:p w14:paraId="27C76D66" w14:textId="45B68BF2" w:rsidR="00A2505B" w:rsidRPr="007D178C" w:rsidRDefault="00A2505B" w:rsidP="007D178C">
      <w:pPr>
        <w:pStyle w:val="MBT"/>
        <w:spacing w:line="240" w:lineRule="exact"/>
      </w:pPr>
      <w:r w:rsidRPr="007D178C">
        <w:rPr>
          <w:b/>
          <w:lang w:val="en-GB"/>
        </w:rPr>
        <w:t>Based on the number of successful MRVP applications in 2016 and 2017 it is possible to make certain calculations</w:t>
      </w:r>
      <w:r>
        <w:rPr>
          <w:lang w:val="en-GB"/>
        </w:rPr>
        <w:t xml:space="preserve"> taking the hypothetical scenario that the</w:t>
      </w:r>
      <w:r w:rsidRPr="00A2505B">
        <w:t xml:space="preserve"> application</w:t>
      </w:r>
      <w:r>
        <w:t>s in question involved</w:t>
      </w:r>
      <w:r w:rsidRPr="00A2505B">
        <w:t xml:space="preserve"> a main applicant with a qualifying owned property in Malta and no </w:t>
      </w:r>
      <w:proofErr w:type="spellStart"/>
      <w:r w:rsidRPr="00A2505B">
        <w:t>dependants</w:t>
      </w:r>
      <w:proofErr w:type="spellEnd"/>
      <w:r>
        <w:t xml:space="preserve"> - meaning a </w:t>
      </w:r>
      <w:r w:rsidRPr="00A2505B">
        <w:t xml:space="preserve">total disbursement </w:t>
      </w:r>
      <w:r>
        <w:t>of</w:t>
      </w:r>
      <w:r w:rsidRPr="00A2505B">
        <w:t xml:space="preserve"> EUR 600,000 (EUR 30,000 (contribution) + EUR 320,000 (property) + EUR 250,000 (investment)). </w:t>
      </w:r>
      <w:r>
        <w:lastRenderedPageBreak/>
        <w:t xml:space="preserve">Taking this example, and based on the 29 successful applications from </w:t>
      </w:r>
      <w:r w:rsidRPr="00A2505B">
        <w:rPr>
          <w:b/>
        </w:rPr>
        <w:t>2016</w:t>
      </w:r>
      <w:r>
        <w:rPr>
          <w:b/>
        </w:rPr>
        <w:t>,</w:t>
      </w:r>
      <w:r w:rsidRPr="00A2505B">
        <w:rPr>
          <w:b/>
        </w:rPr>
        <w:t xml:space="preserve"> </w:t>
      </w:r>
      <w:r>
        <w:t xml:space="preserve">the total </w:t>
      </w:r>
      <w:r w:rsidR="002E4F87">
        <w:t>disbursement</w:t>
      </w:r>
      <w:r w:rsidRPr="001834BA">
        <w:t xml:space="preserve"> </w:t>
      </w:r>
      <w:r>
        <w:t>is</w:t>
      </w:r>
      <w:r w:rsidRPr="001834BA">
        <w:t xml:space="preserve"> </w:t>
      </w:r>
      <w:r w:rsidRPr="00A2505B">
        <w:rPr>
          <w:b/>
        </w:rPr>
        <w:t>EUR 17,400,000</w:t>
      </w:r>
      <w:r w:rsidRPr="001834BA">
        <w:t xml:space="preserve"> </w:t>
      </w:r>
      <w:r>
        <w:t>(c</w:t>
      </w:r>
      <w:r w:rsidRPr="007D178C">
        <w:t>ontribution: EUR 30,000 x 29 = EUR 870,000</w:t>
      </w:r>
      <w:r>
        <w:t>; p</w:t>
      </w:r>
      <w:r w:rsidRPr="00A2505B">
        <w:t>roperty: EUR 320,000 x 29 = EUR 9,280,000</w:t>
      </w:r>
      <w:r>
        <w:t>; i</w:t>
      </w:r>
      <w:r w:rsidRPr="00A2505B">
        <w:t>nvestment: EUR 250,000 x 29 = EUR 7,250,000</w:t>
      </w:r>
      <w:r>
        <w:t xml:space="preserve">). </w:t>
      </w:r>
      <w:r w:rsidRPr="001834BA">
        <w:t xml:space="preserve">The 83 successful applications from the </w:t>
      </w:r>
      <w:r w:rsidRPr="00A2505B">
        <w:rPr>
          <w:b/>
        </w:rPr>
        <w:t xml:space="preserve">2017 </w:t>
      </w:r>
      <w:r w:rsidRPr="001834BA">
        <w:t xml:space="preserve">applications considered to date </w:t>
      </w:r>
      <w:r w:rsidR="002C78D1">
        <w:t>give the amount</w:t>
      </w:r>
      <w:r w:rsidRPr="001834BA">
        <w:t xml:space="preserve"> of </w:t>
      </w:r>
      <w:r w:rsidRPr="00A2505B">
        <w:rPr>
          <w:b/>
        </w:rPr>
        <w:t>EUR 49,800,000</w:t>
      </w:r>
      <w:r w:rsidRPr="001834BA">
        <w:t xml:space="preserve"> </w:t>
      </w:r>
      <w:r>
        <w:t>(c</w:t>
      </w:r>
      <w:r w:rsidRPr="007D178C">
        <w:t>ontribution: EUR 30,000 x 83 = EUR 2,490,000</w:t>
      </w:r>
      <w:r>
        <w:t>; p</w:t>
      </w:r>
      <w:r w:rsidRPr="00A2505B">
        <w:t>roperty: EUR 320,000 x 83 = EUR 26,560,000</w:t>
      </w:r>
      <w:r>
        <w:t>; i</w:t>
      </w:r>
      <w:r w:rsidRPr="007D178C">
        <w:t>nvestment: EUR 250,000 x 83 = EUR 20,750,000</w:t>
      </w:r>
      <w:r>
        <w:t>).</w:t>
      </w:r>
    </w:p>
    <w:p w14:paraId="36E309D8" w14:textId="77777777" w:rsidR="00A2505B" w:rsidRPr="007D178C" w:rsidRDefault="00A2505B" w:rsidP="00B83867">
      <w:pPr>
        <w:pStyle w:val="MBT"/>
        <w:spacing w:line="240" w:lineRule="exact"/>
        <w:rPr>
          <w:b/>
          <w:lang w:val="en-GB"/>
        </w:rPr>
      </w:pPr>
    </w:p>
    <w:p w14:paraId="08ABCDFA" w14:textId="0E1070CE" w:rsidR="002923D5" w:rsidRDefault="002923D5" w:rsidP="00B83867">
      <w:pPr>
        <w:pStyle w:val="MMultilevel"/>
        <w:numPr>
          <w:ilvl w:val="0"/>
          <w:numId w:val="0"/>
        </w:numPr>
        <w:tabs>
          <w:tab w:val="left" w:pos="709"/>
        </w:tabs>
        <w:spacing w:line="240" w:lineRule="exact"/>
        <w:rPr>
          <w:lang w:eastAsia="en-GB"/>
        </w:rPr>
      </w:pPr>
      <w:r>
        <w:t>The</w:t>
      </w:r>
      <w:r w:rsidR="002E4F87">
        <w:t xml:space="preserve"> MRVA representative consulted stated that the</w:t>
      </w:r>
      <w:r w:rsidR="00404A85">
        <w:t xml:space="preserve"> </w:t>
      </w:r>
      <w:r w:rsidRPr="00443D35">
        <w:rPr>
          <w:b/>
        </w:rPr>
        <w:t>funds collected through the MRVP</w:t>
      </w:r>
      <w:r>
        <w:t xml:space="preserve"> in 2016 amounted to EUR </w:t>
      </w:r>
      <w:r>
        <w:rPr>
          <w:lang w:eastAsia="en-GB"/>
        </w:rPr>
        <w:t>521,000; in 2017, EU</w:t>
      </w:r>
      <w:r w:rsidR="0003415D">
        <w:rPr>
          <w:lang w:eastAsia="en-GB"/>
        </w:rPr>
        <w:t>R 3,776,000 and in January 2018</w:t>
      </w:r>
      <w:r>
        <w:rPr>
          <w:lang w:eastAsia="en-GB"/>
        </w:rPr>
        <w:t xml:space="preserve">, EUR 586,000. </w:t>
      </w:r>
      <w:r w:rsidR="00BB1743">
        <w:rPr>
          <w:lang w:eastAsia="en-GB"/>
        </w:rPr>
        <w:t>From</w:t>
      </w:r>
      <w:r>
        <w:rPr>
          <w:lang w:eastAsia="en-GB"/>
        </w:rPr>
        <w:t xml:space="preserve"> the start of the </w:t>
      </w:r>
      <w:r w:rsidR="00BB1743">
        <w:rPr>
          <w:lang w:eastAsia="en-GB"/>
        </w:rPr>
        <w:t xml:space="preserve">MRVP </w:t>
      </w:r>
      <w:r>
        <w:rPr>
          <w:lang w:eastAsia="en-GB"/>
        </w:rPr>
        <w:t xml:space="preserve">to 31 January 2018 a total of EUR 4,883,000 has been collected. </w:t>
      </w:r>
    </w:p>
    <w:p w14:paraId="4209B4D4" w14:textId="77777777" w:rsidR="002923D5" w:rsidRPr="00A35294" w:rsidRDefault="002923D5" w:rsidP="00B83867">
      <w:pPr>
        <w:pStyle w:val="MBT"/>
        <w:spacing w:line="240" w:lineRule="exact"/>
        <w:rPr>
          <w:lang w:val="en-GB"/>
        </w:rPr>
      </w:pPr>
    </w:p>
    <w:p w14:paraId="295282B6" w14:textId="77777777" w:rsidR="0025572E" w:rsidRPr="002661B3" w:rsidRDefault="0025572E" w:rsidP="00B83867">
      <w:pPr>
        <w:pStyle w:val="MBT"/>
        <w:spacing w:line="240" w:lineRule="exact"/>
        <w:rPr>
          <w:b/>
          <w:i/>
          <w:lang w:val="en-GB"/>
        </w:rPr>
      </w:pPr>
      <w:r w:rsidRPr="002661B3">
        <w:rPr>
          <w:b/>
          <w:i/>
          <w:lang w:val="en-GB"/>
        </w:rPr>
        <w:t>Link between the residence and citizenship investor schemes</w:t>
      </w:r>
    </w:p>
    <w:p w14:paraId="2AB19064" w14:textId="77777777" w:rsidR="009E0CAD" w:rsidRDefault="009E0CAD" w:rsidP="00B83867">
      <w:pPr>
        <w:pStyle w:val="MBT"/>
        <w:spacing w:line="240" w:lineRule="exact"/>
        <w:rPr>
          <w:lang w:val="en-GB"/>
        </w:rPr>
      </w:pPr>
    </w:p>
    <w:p w14:paraId="096B0E06" w14:textId="4D8CB967" w:rsidR="002923D5" w:rsidRDefault="00701FD5" w:rsidP="00B83867">
      <w:pPr>
        <w:pStyle w:val="MBT"/>
        <w:spacing w:line="240" w:lineRule="exact"/>
        <w:rPr>
          <w:lang w:val="en-GB"/>
        </w:rPr>
      </w:pPr>
      <w:r>
        <w:rPr>
          <w:lang w:val="en-GB"/>
        </w:rPr>
        <w:t>T</w:t>
      </w:r>
      <w:r w:rsidR="002923D5" w:rsidRPr="00A35294">
        <w:rPr>
          <w:lang w:val="en-GB"/>
        </w:rPr>
        <w:t xml:space="preserve">he </w:t>
      </w:r>
      <w:r w:rsidR="002923D5" w:rsidRPr="0003415D">
        <w:rPr>
          <w:b/>
          <w:lang w:val="en-GB"/>
        </w:rPr>
        <w:t xml:space="preserve">MRVP alone does not suffice for attaining citizenship </w:t>
      </w:r>
      <w:r w:rsidR="002923D5" w:rsidRPr="00A35294">
        <w:rPr>
          <w:lang w:val="en-GB"/>
        </w:rPr>
        <w:t>under the ordinary naturalisation procedure. The status of an MRVP beneficiary is terminated when the beneficiary no longer meets the MRVP requirem</w:t>
      </w:r>
      <w:r>
        <w:rPr>
          <w:lang w:val="en-GB"/>
        </w:rPr>
        <w:t xml:space="preserve">ents. This includes cases where, for example, </w:t>
      </w:r>
      <w:r w:rsidR="002923D5" w:rsidRPr="00A35294">
        <w:rPr>
          <w:lang w:val="en-GB"/>
        </w:rPr>
        <w:t xml:space="preserve">because </w:t>
      </w:r>
      <w:r>
        <w:rPr>
          <w:lang w:val="en-GB"/>
        </w:rPr>
        <w:t xml:space="preserve">of </w:t>
      </w:r>
      <w:r w:rsidR="002923D5" w:rsidRPr="00A35294">
        <w:rPr>
          <w:lang w:val="en-GB"/>
        </w:rPr>
        <w:t xml:space="preserve">an extended period of legal and continuous residence in Malta the individual </w:t>
      </w:r>
      <w:r>
        <w:rPr>
          <w:lang w:val="en-GB"/>
        </w:rPr>
        <w:t>acquires</w:t>
      </w:r>
      <w:r w:rsidR="002923D5" w:rsidRPr="00A35294">
        <w:rPr>
          <w:lang w:val="en-GB"/>
        </w:rPr>
        <w:t xml:space="preserve"> a different status (e.g. long-term residence). </w:t>
      </w:r>
    </w:p>
    <w:p w14:paraId="6B05A9F5" w14:textId="77777777" w:rsidR="002923D5" w:rsidRPr="00A35294" w:rsidRDefault="002923D5" w:rsidP="00B83867">
      <w:pPr>
        <w:pStyle w:val="MBT"/>
        <w:spacing w:line="240" w:lineRule="exact"/>
        <w:rPr>
          <w:lang w:val="en-GB"/>
        </w:rPr>
      </w:pPr>
    </w:p>
    <w:p w14:paraId="6DFB9F08" w14:textId="171051E5" w:rsidR="00BB1743" w:rsidRPr="00A35294" w:rsidRDefault="002923D5" w:rsidP="00B83867">
      <w:pPr>
        <w:pStyle w:val="MBT"/>
        <w:spacing w:line="240" w:lineRule="exact"/>
        <w:rPr>
          <w:lang w:val="en-GB"/>
        </w:rPr>
      </w:pPr>
      <w:r w:rsidRPr="00A35294">
        <w:rPr>
          <w:lang w:val="en-GB"/>
        </w:rPr>
        <w:t xml:space="preserve">In practice, the qualifying investment of EUR 250,000 under the MRVP can be retained for the purposes of an application under the </w:t>
      </w:r>
      <w:r>
        <w:rPr>
          <w:lang w:val="en-GB"/>
        </w:rPr>
        <w:t>IIP</w:t>
      </w:r>
      <w:r w:rsidRPr="00A35294">
        <w:rPr>
          <w:lang w:val="en-GB"/>
        </w:rPr>
        <w:t>.</w:t>
      </w:r>
      <w:r>
        <w:rPr>
          <w:lang w:val="en-GB"/>
        </w:rPr>
        <w:t xml:space="preserve"> </w:t>
      </w:r>
      <w:r w:rsidR="00322582">
        <w:rPr>
          <w:lang w:val="en-GB"/>
        </w:rPr>
        <w:t>To date, t</w:t>
      </w:r>
      <w:r w:rsidRPr="00A35294">
        <w:rPr>
          <w:lang w:val="en-GB"/>
        </w:rPr>
        <w:t xml:space="preserve">here are no cases of MRVP beneficiaries who applied for the </w:t>
      </w:r>
      <w:r>
        <w:rPr>
          <w:lang w:val="en-GB"/>
        </w:rPr>
        <w:t>IIP</w:t>
      </w:r>
      <w:r w:rsidRPr="00A35294">
        <w:rPr>
          <w:lang w:val="en-GB"/>
        </w:rPr>
        <w:t>.</w:t>
      </w:r>
      <w:r w:rsidRPr="00A35294">
        <w:rPr>
          <w:rStyle w:val="FootnoteReference"/>
          <w:lang w:val="en-GB"/>
        </w:rPr>
        <w:footnoteReference w:id="39"/>
      </w:r>
      <w:r w:rsidR="00BB1743">
        <w:rPr>
          <w:lang w:val="en-GB"/>
        </w:rPr>
        <w:t xml:space="preserve"> </w:t>
      </w:r>
      <w:r w:rsidR="001C0B4D">
        <w:rPr>
          <w:lang w:eastAsia="en-GB"/>
        </w:rPr>
        <w:t>MRVP targets applicants</w:t>
      </w:r>
      <w:r w:rsidR="00BB1743" w:rsidRPr="00A35294">
        <w:rPr>
          <w:lang w:eastAsia="en-GB"/>
        </w:rPr>
        <w:t xml:space="preserve"> interested in residence </w:t>
      </w:r>
      <w:r w:rsidR="00BB1743" w:rsidRPr="00A35294">
        <w:rPr>
          <w:lang w:val="en-GB"/>
        </w:rPr>
        <w:t xml:space="preserve">rights and not in citizenship. </w:t>
      </w:r>
      <w:r w:rsidR="007A7997">
        <w:rPr>
          <w:lang w:val="en-GB"/>
        </w:rPr>
        <w:t>These</w:t>
      </w:r>
      <w:r w:rsidR="00BB1743" w:rsidRPr="00A35294">
        <w:rPr>
          <w:lang w:val="en-GB"/>
        </w:rPr>
        <w:t xml:space="preserve"> commonly come from countries that do not accept dual citizenship, e.g. China.</w:t>
      </w:r>
      <w:r w:rsidR="00BB1743" w:rsidRPr="00A35294">
        <w:rPr>
          <w:rStyle w:val="FootnoteReference"/>
          <w:lang w:eastAsia="en-GB"/>
        </w:rPr>
        <w:footnoteReference w:id="40"/>
      </w:r>
      <w:r w:rsidR="00BB1743" w:rsidRPr="00A35294">
        <w:rPr>
          <w:lang w:eastAsia="en-GB"/>
        </w:rPr>
        <w:t xml:space="preserve"> </w:t>
      </w:r>
      <w:r w:rsidR="00BB1743" w:rsidRPr="00A35294">
        <w:rPr>
          <w:lang w:val="en-GB"/>
        </w:rPr>
        <w:t xml:space="preserve"> </w:t>
      </w:r>
    </w:p>
    <w:p w14:paraId="296B103E" w14:textId="49A5F07C" w:rsidR="002923D5" w:rsidRDefault="002923D5" w:rsidP="00B83867">
      <w:pPr>
        <w:pStyle w:val="MBT"/>
        <w:spacing w:line="240" w:lineRule="exact"/>
        <w:rPr>
          <w:lang w:val="en-GB"/>
        </w:rPr>
      </w:pPr>
    </w:p>
    <w:p w14:paraId="0B5ADA37" w14:textId="4373A8CD" w:rsidR="002923D5" w:rsidRPr="00523824" w:rsidRDefault="00CE6C8A" w:rsidP="00B83867">
      <w:pPr>
        <w:pStyle w:val="MBT"/>
        <w:spacing w:line="240" w:lineRule="exact"/>
        <w:rPr>
          <w:lang w:val="en-GB"/>
        </w:rPr>
      </w:pPr>
      <w:r>
        <w:rPr>
          <w:lang w:val="en-GB"/>
        </w:rPr>
        <w:t xml:space="preserve">As with </w:t>
      </w:r>
      <w:r w:rsidR="008F7BBE">
        <w:rPr>
          <w:lang w:val="en-GB"/>
        </w:rPr>
        <w:t xml:space="preserve">MRVP, </w:t>
      </w:r>
      <w:r w:rsidR="002923D5" w:rsidRPr="0003415D">
        <w:rPr>
          <w:b/>
          <w:lang w:val="en-GB"/>
        </w:rPr>
        <w:t xml:space="preserve">GRP beneficiaries can apply for the IIP </w:t>
      </w:r>
      <w:r w:rsidR="008F7BBE">
        <w:rPr>
          <w:b/>
          <w:lang w:val="en-GB"/>
        </w:rPr>
        <w:t>if they satisfy</w:t>
      </w:r>
      <w:r w:rsidR="002923D5" w:rsidRPr="0003415D">
        <w:rPr>
          <w:b/>
          <w:lang w:val="en-GB"/>
        </w:rPr>
        <w:t xml:space="preserve"> </w:t>
      </w:r>
      <w:r w:rsidR="00CB32C2">
        <w:rPr>
          <w:b/>
          <w:lang w:val="en-GB"/>
        </w:rPr>
        <w:t xml:space="preserve">its </w:t>
      </w:r>
      <w:r w:rsidR="002923D5" w:rsidRPr="0003415D">
        <w:rPr>
          <w:b/>
          <w:lang w:val="en-GB"/>
        </w:rPr>
        <w:t>additional eligibility requirements</w:t>
      </w:r>
      <w:r w:rsidR="002923D5" w:rsidRPr="00A35294">
        <w:rPr>
          <w:lang w:val="en-GB"/>
        </w:rPr>
        <w:t>.</w:t>
      </w:r>
      <w:r w:rsidR="00822C77">
        <w:rPr>
          <w:rStyle w:val="FootnoteReference"/>
          <w:lang w:val="en-GB"/>
        </w:rPr>
        <w:footnoteReference w:id="41"/>
      </w:r>
      <w:r w:rsidR="002923D5" w:rsidRPr="00A35294">
        <w:rPr>
          <w:lang w:val="en-GB"/>
        </w:rPr>
        <w:t xml:space="preserve"> </w:t>
      </w:r>
    </w:p>
    <w:p w14:paraId="19427115" w14:textId="20C55F36" w:rsidR="008F7BBE" w:rsidRDefault="008F7BBE" w:rsidP="00B83867">
      <w:pPr>
        <w:tabs>
          <w:tab w:val="left" w:pos="1735"/>
        </w:tabs>
        <w:spacing w:line="240" w:lineRule="exact"/>
        <w:rPr>
          <w:rFonts w:ascii="Times New Roman" w:hAnsi="Times New Roman" w:cs="Times New Roman"/>
          <w:sz w:val="22"/>
          <w:szCs w:val="22"/>
          <w:lang w:val="en-GB"/>
        </w:rPr>
      </w:pPr>
    </w:p>
    <w:p w14:paraId="770917E4" w14:textId="2135823D" w:rsidR="0025572E" w:rsidRDefault="0025572E" w:rsidP="00B83867">
      <w:pPr>
        <w:pStyle w:val="MBT"/>
        <w:spacing w:line="240" w:lineRule="exact"/>
        <w:rPr>
          <w:b/>
          <w:i/>
          <w:lang w:val="en-GB"/>
        </w:rPr>
      </w:pPr>
      <w:r w:rsidRPr="002661B3">
        <w:rPr>
          <w:b/>
          <w:i/>
          <w:lang w:val="en-GB"/>
        </w:rPr>
        <w:t>Numbers involved</w:t>
      </w:r>
    </w:p>
    <w:p w14:paraId="1CD21409" w14:textId="77777777" w:rsidR="009E0CAD" w:rsidRPr="002661B3" w:rsidRDefault="009E0CAD" w:rsidP="00B83867">
      <w:pPr>
        <w:pStyle w:val="MBT"/>
        <w:spacing w:line="240" w:lineRule="exact"/>
        <w:rPr>
          <w:b/>
          <w:i/>
          <w:lang w:val="en-GB"/>
        </w:rPr>
      </w:pPr>
    </w:p>
    <w:p w14:paraId="60B95F1A" w14:textId="351A47BF" w:rsidR="00CB32C2" w:rsidRPr="00C402A6" w:rsidRDefault="00422901" w:rsidP="00B83867">
      <w:pPr>
        <w:pStyle w:val="MBT"/>
        <w:spacing w:line="240" w:lineRule="exact"/>
        <w:rPr>
          <w:lang w:val="en-GB"/>
        </w:rPr>
      </w:pPr>
      <w:r>
        <w:rPr>
          <w:lang w:val="en-GB"/>
        </w:rPr>
        <w:t xml:space="preserve">Between February 2014 and June 2017, </w:t>
      </w:r>
      <w:r w:rsidR="00225920" w:rsidRPr="001C0B4D">
        <w:rPr>
          <w:b/>
          <w:lang w:val="en-GB"/>
        </w:rPr>
        <w:t xml:space="preserve">1245 </w:t>
      </w:r>
      <w:r>
        <w:rPr>
          <w:b/>
          <w:lang w:val="en-GB"/>
        </w:rPr>
        <w:t xml:space="preserve">IIP </w:t>
      </w:r>
      <w:r w:rsidR="00225920" w:rsidRPr="001C0B4D">
        <w:rPr>
          <w:b/>
          <w:lang w:val="en-GB"/>
        </w:rPr>
        <w:t>a</w:t>
      </w:r>
      <w:r w:rsidR="00225920">
        <w:rPr>
          <w:b/>
          <w:lang w:val="en-GB"/>
        </w:rPr>
        <w:t xml:space="preserve">pplications for citizenship </w:t>
      </w:r>
      <w:r>
        <w:rPr>
          <w:lang w:val="en-GB"/>
        </w:rPr>
        <w:t>were</w:t>
      </w:r>
      <w:r w:rsidR="00225920">
        <w:rPr>
          <w:lang w:val="en-GB"/>
        </w:rPr>
        <w:t xml:space="preserve"> submitted – 738 successful</w:t>
      </w:r>
      <w:r>
        <w:rPr>
          <w:lang w:val="en-GB"/>
        </w:rPr>
        <w:t xml:space="preserve">; </w:t>
      </w:r>
      <w:r w:rsidR="00225920">
        <w:rPr>
          <w:lang w:val="en-GB"/>
        </w:rPr>
        <w:t xml:space="preserve">146 </w:t>
      </w:r>
      <w:r>
        <w:rPr>
          <w:lang w:val="en-GB"/>
        </w:rPr>
        <w:t>unsuccessful; 346 under consideration</w:t>
      </w:r>
      <w:r w:rsidR="00225920">
        <w:rPr>
          <w:lang w:val="en-GB"/>
        </w:rPr>
        <w:t>.</w:t>
      </w:r>
      <w:r w:rsidR="00225920">
        <w:rPr>
          <w:rStyle w:val="FootnoteReference"/>
          <w:lang w:val="en-GB"/>
        </w:rPr>
        <w:footnoteReference w:id="42"/>
      </w:r>
      <w:r w:rsidR="00225920">
        <w:rPr>
          <w:lang w:val="en-GB"/>
        </w:rPr>
        <w:t xml:space="preserve"> O</w:t>
      </w:r>
      <w:r w:rsidR="00225920" w:rsidRPr="00225920">
        <w:rPr>
          <w:lang w:val="en-GB"/>
        </w:rPr>
        <w:t>n average, each application contained one main applicant and three dependants.</w:t>
      </w:r>
      <w:r w:rsidR="00BB1743">
        <w:rPr>
          <w:lang w:val="en-GB"/>
        </w:rPr>
        <w:t xml:space="preserve"> </w:t>
      </w:r>
      <w:r>
        <w:rPr>
          <w:lang w:val="en-GB"/>
        </w:rPr>
        <w:t xml:space="preserve">Insufficient </w:t>
      </w:r>
      <w:r>
        <w:rPr>
          <w:bCs w:val="0"/>
          <w:lang w:val="en-GB"/>
        </w:rPr>
        <w:t>information on the applicant was the most common ground for refusal</w:t>
      </w:r>
      <w:r w:rsidR="00BB1743" w:rsidRPr="00BB1743">
        <w:rPr>
          <w:lang w:val="en-GB"/>
        </w:rPr>
        <w:t>.</w:t>
      </w:r>
      <w:r w:rsidR="00BB1743" w:rsidRPr="00BB1743">
        <w:rPr>
          <w:vertAlign w:val="superscript"/>
          <w:lang w:val="en-GB"/>
        </w:rPr>
        <w:footnoteReference w:id="43"/>
      </w:r>
      <w:r w:rsidR="00CB32C2">
        <w:rPr>
          <w:bCs w:val="0"/>
          <w:lang w:val="en-GB"/>
        </w:rPr>
        <w:t xml:space="preserve"> </w:t>
      </w:r>
      <w:proofErr w:type="spellStart"/>
      <w:r w:rsidR="00CB32C2">
        <w:rPr>
          <w:lang w:val="en-GB"/>
        </w:rPr>
        <w:t>ORiip</w:t>
      </w:r>
      <w:proofErr w:type="spellEnd"/>
      <w:r w:rsidR="00CB32C2">
        <w:rPr>
          <w:lang w:val="en-GB"/>
        </w:rPr>
        <w:t xml:space="preserve"> annual reports show </w:t>
      </w:r>
      <w:r w:rsidR="00CB32C2" w:rsidRPr="00BB1743">
        <w:rPr>
          <w:b/>
          <w:lang w:val="en-GB"/>
        </w:rPr>
        <w:t xml:space="preserve">discrepancies in terms of the number of </w:t>
      </w:r>
      <w:r w:rsidR="00CB32C2">
        <w:rPr>
          <w:b/>
          <w:lang w:val="en-GB"/>
        </w:rPr>
        <w:t xml:space="preserve">IIP </w:t>
      </w:r>
      <w:r w:rsidR="00CB32C2" w:rsidRPr="00BB1743">
        <w:rPr>
          <w:b/>
          <w:lang w:val="en-GB"/>
        </w:rPr>
        <w:t xml:space="preserve">applications </w:t>
      </w:r>
      <w:r w:rsidR="00325671" w:rsidRPr="00325671">
        <w:rPr>
          <w:lang w:val="en-GB"/>
        </w:rPr>
        <w:t>received, approved, and rejected</w:t>
      </w:r>
      <w:r w:rsidR="00325671">
        <w:rPr>
          <w:lang w:val="en-GB"/>
        </w:rPr>
        <w:t xml:space="preserve">. </w:t>
      </w:r>
      <w:r w:rsidR="00CB32C2">
        <w:rPr>
          <w:lang w:val="en-GB"/>
        </w:rPr>
        <w:t>Discrepancies related to number of applications might cause concern, especially since reports clearly specify the periods of reference.</w:t>
      </w:r>
    </w:p>
    <w:p w14:paraId="7ABBF1E3" w14:textId="23F16DC5" w:rsidR="00BB1743" w:rsidRPr="00225920" w:rsidRDefault="00BB1743" w:rsidP="00B83867">
      <w:pPr>
        <w:tabs>
          <w:tab w:val="left" w:pos="1735"/>
        </w:tabs>
        <w:spacing w:line="240" w:lineRule="exact"/>
        <w:jc w:val="both"/>
        <w:rPr>
          <w:rFonts w:ascii="Times New Roman" w:hAnsi="Times New Roman" w:cs="Times New Roman"/>
          <w:sz w:val="22"/>
          <w:szCs w:val="22"/>
          <w:lang w:val="en-GB"/>
        </w:rPr>
      </w:pPr>
    </w:p>
    <w:p w14:paraId="77FA5D0F" w14:textId="63CD282C" w:rsidR="00426ECB" w:rsidRDefault="00422901" w:rsidP="00B83867">
      <w:pPr>
        <w:tabs>
          <w:tab w:val="left" w:pos="1735"/>
        </w:tabs>
        <w:spacing w:line="240" w:lineRule="exact"/>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In 2016 and 2017, </w:t>
      </w:r>
      <w:r w:rsidR="00896F9F">
        <w:rPr>
          <w:rFonts w:ascii="Times New Roman" w:hAnsi="Times New Roman" w:cs="Times New Roman"/>
          <w:sz w:val="22"/>
          <w:szCs w:val="22"/>
          <w:lang w:val="en-GB"/>
        </w:rPr>
        <w:t>there were</w:t>
      </w:r>
      <w:r w:rsidR="00426ECB">
        <w:rPr>
          <w:rFonts w:ascii="Times New Roman" w:hAnsi="Times New Roman" w:cs="Times New Roman"/>
          <w:sz w:val="22"/>
          <w:szCs w:val="22"/>
          <w:lang w:val="en-GB"/>
        </w:rPr>
        <w:t xml:space="preserve"> </w:t>
      </w:r>
      <w:r w:rsidR="00426ECB" w:rsidRPr="001C0B4D">
        <w:rPr>
          <w:rFonts w:ascii="Times New Roman" w:hAnsi="Times New Roman" w:cs="Times New Roman"/>
          <w:b/>
          <w:sz w:val="22"/>
          <w:szCs w:val="22"/>
          <w:lang w:val="en-GB"/>
        </w:rPr>
        <w:t xml:space="preserve">415 </w:t>
      </w:r>
      <w:r>
        <w:rPr>
          <w:rFonts w:ascii="Times New Roman" w:hAnsi="Times New Roman" w:cs="Times New Roman"/>
          <w:b/>
          <w:sz w:val="22"/>
          <w:szCs w:val="22"/>
          <w:lang w:val="en-GB"/>
        </w:rPr>
        <w:t>MRVP</w:t>
      </w:r>
      <w:r w:rsidDel="00422901">
        <w:rPr>
          <w:rStyle w:val="CommentReference"/>
        </w:rPr>
        <w:t xml:space="preserve"> </w:t>
      </w:r>
      <w:r w:rsidR="00225920" w:rsidRPr="001C0B4D">
        <w:rPr>
          <w:rFonts w:ascii="Times New Roman" w:hAnsi="Times New Roman" w:cs="Times New Roman"/>
          <w:b/>
          <w:sz w:val="22"/>
          <w:szCs w:val="22"/>
          <w:lang w:val="en-GB"/>
        </w:rPr>
        <w:t>applications</w:t>
      </w:r>
      <w:r w:rsidR="00225920">
        <w:rPr>
          <w:rFonts w:ascii="Times New Roman" w:hAnsi="Times New Roman" w:cs="Times New Roman"/>
          <w:b/>
          <w:sz w:val="22"/>
          <w:szCs w:val="22"/>
          <w:lang w:val="en-GB"/>
        </w:rPr>
        <w:t xml:space="preserve"> for residence</w:t>
      </w:r>
      <w:r w:rsidR="00225920">
        <w:rPr>
          <w:rFonts w:ascii="Times New Roman" w:hAnsi="Times New Roman" w:cs="Times New Roman"/>
          <w:sz w:val="22"/>
          <w:szCs w:val="22"/>
          <w:lang w:val="en-GB"/>
        </w:rPr>
        <w:t xml:space="preserve"> -</w:t>
      </w:r>
      <w:r w:rsidR="00426ECB">
        <w:rPr>
          <w:rFonts w:ascii="Times New Roman" w:hAnsi="Times New Roman" w:cs="Times New Roman"/>
          <w:sz w:val="22"/>
          <w:szCs w:val="22"/>
          <w:lang w:val="en-GB"/>
        </w:rPr>
        <w:t xml:space="preserve"> 122 successful</w:t>
      </w:r>
      <w:r>
        <w:rPr>
          <w:rFonts w:ascii="Times New Roman" w:hAnsi="Times New Roman" w:cs="Times New Roman"/>
          <w:sz w:val="22"/>
          <w:szCs w:val="22"/>
          <w:lang w:val="en-GB"/>
        </w:rPr>
        <w:t xml:space="preserve">; </w:t>
      </w:r>
      <w:r w:rsidR="00426ECB">
        <w:rPr>
          <w:rFonts w:ascii="Times New Roman" w:hAnsi="Times New Roman" w:cs="Times New Roman"/>
          <w:sz w:val="22"/>
          <w:szCs w:val="22"/>
          <w:lang w:val="en-GB"/>
        </w:rPr>
        <w:t xml:space="preserve">3 </w:t>
      </w:r>
      <w:r>
        <w:rPr>
          <w:rFonts w:ascii="Times New Roman" w:hAnsi="Times New Roman" w:cs="Times New Roman"/>
          <w:sz w:val="22"/>
          <w:szCs w:val="22"/>
          <w:lang w:val="en-GB"/>
        </w:rPr>
        <w:t xml:space="preserve">unsuccessful; </w:t>
      </w:r>
      <w:r w:rsidR="00B730EF">
        <w:rPr>
          <w:rFonts w:ascii="Times New Roman" w:hAnsi="Times New Roman" w:cs="Times New Roman"/>
          <w:sz w:val="22"/>
          <w:szCs w:val="22"/>
          <w:lang w:val="en-GB"/>
        </w:rPr>
        <w:t xml:space="preserve">and </w:t>
      </w:r>
      <w:r>
        <w:rPr>
          <w:rFonts w:ascii="Times New Roman" w:hAnsi="Times New Roman" w:cs="Times New Roman"/>
          <w:sz w:val="22"/>
          <w:szCs w:val="22"/>
          <w:lang w:val="en-GB"/>
        </w:rPr>
        <w:t>290 under consideration</w:t>
      </w:r>
      <w:r w:rsidR="00426ECB">
        <w:rPr>
          <w:rFonts w:ascii="Times New Roman" w:hAnsi="Times New Roman" w:cs="Times New Roman"/>
          <w:sz w:val="22"/>
          <w:szCs w:val="22"/>
          <w:lang w:val="en-GB"/>
        </w:rPr>
        <w:t xml:space="preserve">. There were an </w:t>
      </w:r>
      <w:r w:rsidR="00426ECB" w:rsidRPr="00426ECB">
        <w:rPr>
          <w:rFonts w:ascii="Times New Roman" w:hAnsi="Times New Roman" w:cs="Times New Roman"/>
          <w:sz w:val="22"/>
          <w:szCs w:val="22"/>
          <w:lang w:val="en-GB"/>
        </w:rPr>
        <w:t>additional 82 applications in January 2018</w:t>
      </w:r>
      <w:r w:rsidR="00225920">
        <w:rPr>
          <w:rFonts w:ascii="Times New Roman" w:hAnsi="Times New Roman" w:cs="Times New Roman"/>
          <w:sz w:val="22"/>
          <w:szCs w:val="22"/>
          <w:lang w:val="en-GB"/>
        </w:rPr>
        <w:t xml:space="preserve"> that</w:t>
      </w:r>
      <w:r w:rsidR="00426ECB" w:rsidRPr="00426ECB">
        <w:rPr>
          <w:rFonts w:ascii="Times New Roman" w:hAnsi="Times New Roman" w:cs="Times New Roman"/>
          <w:sz w:val="22"/>
          <w:szCs w:val="22"/>
          <w:lang w:val="en-GB"/>
        </w:rPr>
        <w:t xml:space="preserve"> are pending review as of March 2018. The most common reason for rejected applications was failed due diligence.</w:t>
      </w:r>
      <w:r w:rsidR="00426ECB" w:rsidRPr="00426ECB">
        <w:rPr>
          <w:rFonts w:ascii="Times New Roman" w:hAnsi="Times New Roman" w:cs="Times New Roman"/>
          <w:sz w:val="22"/>
          <w:szCs w:val="22"/>
          <w:vertAlign w:val="superscript"/>
          <w:lang w:val="en-GB"/>
        </w:rPr>
        <w:footnoteReference w:id="44"/>
      </w:r>
    </w:p>
    <w:p w14:paraId="18F02DE0" w14:textId="42824C7A" w:rsidR="003B49F1" w:rsidRPr="00C402A6" w:rsidRDefault="003B49F1" w:rsidP="00B83867">
      <w:pPr>
        <w:pStyle w:val="MBT"/>
        <w:spacing w:line="240" w:lineRule="exact"/>
        <w:rPr>
          <w:lang w:val="en-GB"/>
        </w:rPr>
      </w:pPr>
    </w:p>
    <w:p w14:paraId="49DE21D0" w14:textId="508B1A0B" w:rsidR="001C0B4D" w:rsidRPr="00671591" w:rsidRDefault="00D53C1F" w:rsidP="00B83867">
      <w:pPr>
        <w:pStyle w:val="MBT"/>
        <w:spacing w:line="240" w:lineRule="exact"/>
        <w:rPr>
          <w:lang w:val="en-GB"/>
        </w:rPr>
      </w:pPr>
      <w:r>
        <w:rPr>
          <w:lang w:val="en-GB"/>
        </w:rPr>
        <w:t>While the</w:t>
      </w:r>
      <w:r w:rsidR="0013456F">
        <w:rPr>
          <w:lang w:val="en-GB"/>
        </w:rPr>
        <w:t xml:space="preserve"> limit of</w:t>
      </w:r>
      <w:r w:rsidR="003B49F1" w:rsidRPr="00DF3103">
        <w:t xml:space="preserve"> 1,800 successful applications</w:t>
      </w:r>
      <w:r w:rsidR="0013456F">
        <w:t xml:space="preserve"> under the </w:t>
      </w:r>
      <w:r>
        <w:t>IIP</w:t>
      </w:r>
      <w:r w:rsidR="003B49F1">
        <w:t xml:space="preserve"> has not yet been reached, the </w:t>
      </w:r>
      <w:r w:rsidR="003B49F1" w:rsidRPr="00DF3103">
        <w:t xml:space="preserve">Maltese media have reported the </w:t>
      </w:r>
      <w:r w:rsidR="003B49F1" w:rsidRPr="00BB1743">
        <w:rPr>
          <w:b/>
        </w:rPr>
        <w:t xml:space="preserve">possibility of extending the </w:t>
      </w:r>
      <w:r w:rsidR="00BB1743" w:rsidRPr="00BB1743">
        <w:rPr>
          <w:b/>
        </w:rPr>
        <w:t>IIP</w:t>
      </w:r>
      <w:r w:rsidR="003B49F1" w:rsidRPr="00DF3103">
        <w:t xml:space="preserve">. </w:t>
      </w:r>
      <w:r>
        <w:t>Identity Malta recently held a public consultation</w:t>
      </w:r>
      <w:r w:rsidR="003B49F1">
        <w:t xml:space="preserve"> via an open online survey with </w:t>
      </w:r>
      <w:r w:rsidR="00BB1743">
        <w:t>a view to</w:t>
      </w:r>
      <w:r w:rsidR="003B49F1" w:rsidRPr="009938ED">
        <w:t xml:space="preserve"> updating and </w:t>
      </w:r>
      <w:r w:rsidR="00BB1743">
        <w:t>revising the IIP</w:t>
      </w:r>
      <w:r w:rsidR="003B49F1">
        <w:t xml:space="preserve">. </w:t>
      </w:r>
      <w:r w:rsidR="0003415D" w:rsidRPr="00BB1743">
        <w:rPr>
          <w:b/>
          <w:color w:val="000000" w:themeColor="text1"/>
          <w:lang w:val="en-GB"/>
        </w:rPr>
        <w:t xml:space="preserve">LN 47/2014 would also need to be amended to take into account the </w:t>
      </w:r>
      <w:r w:rsidRPr="00BB1743">
        <w:rPr>
          <w:b/>
          <w:color w:val="000000" w:themeColor="text1"/>
          <w:lang w:val="en-GB"/>
        </w:rPr>
        <w:t>new</w:t>
      </w:r>
      <w:r w:rsidR="0003415D" w:rsidRPr="00BB1743">
        <w:rPr>
          <w:b/>
          <w:color w:val="000000" w:themeColor="text1"/>
          <w:lang w:val="en-GB"/>
        </w:rPr>
        <w:t xml:space="preserve"> IIP Agency</w:t>
      </w:r>
      <w:r w:rsidR="003206BD">
        <w:rPr>
          <w:color w:val="000000" w:themeColor="text1"/>
          <w:lang w:val="en-GB"/>
        </w:rPr>
        <w:t xml:space="preserve"> and </w:t>
      </w:r>
      <w:r w:rsidR="003206BD" w:rsidRPr="00BB1743">
        <w:rPr>
          <w:b/>
          <w:color w:val="000000" w:themeColor="text1"/>
          <w:lang w:val="en-GB"/>
        </w:rPr>
        <w:t xml:space="preserve">LN 288/2015 needs to be amended to reflect </w:t>
      </w:r>
      <w:r w:rsidR="00D01EF8" w:rsidRPr="00BB1743">
        <w:rPr>
          <w:b/>
          <w:lang w:val="en-GB"/>
        </w:rPr>
        <w:t>the separation of the MRVA from Identity Malta</w:t>
      </w:r>
      <w:r w:rsidR="00655D7F">
        <w:rPr>
          <w:b/>
          <w:lang w:val="en-GB"/>
        </w:rPr>
        <w:t xml:space="preserve"> </w:t>
      </w:r>
      <w:r w:rsidR="00655D7F" w:rsidRPr="00CE6C8A">
        <w:rPr>
          <w:lang w:val="en-GB"/>
        </w:rPr>
        <w:t>in 2017</w:t>
      </w:r>
      <w:r w:rsidR="00D01EF8" w:rsidRPr="00CE6C8A">
        <w:rPr>
          <w:lang w:val="en-GB"/>
        </w:rPr>
        <w:t>.</w:t>
      </w:r>
      <w:r w:rsidR="00D01EF8" w:rsidRPr="00BB1743">
        <w:rPr>
          <w:lang w:val="en-GB"/>
        </w:rPr>
        <w:t xml:space="preserve"> </w:t>
      </w:r>
    </w:p>
    <w:sectPr w:rsidR="001C0B4D" w:rsidRPr="00671591" w:rsidSect="000A7FD5">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62E87" w14:textId="77777777" w:rsidR="002F46E4" w:rsidRDefault="002F46E4" w:rsidP="00693AB7">
      <w:r>
        <w:separator/>
      </w:r>
    </w:p>
  </w:endnote>
  <w:endnote w:type="continuationSeparator" w:id="0">
    <w:p w14:paraId="2EEBAB03" w14:textId="77777777" w:rsidR="002F46E4" w:rsidRDefault="002F46E4" w:rsidP="0069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4" w:type="pct"/>
      <w:tblBorders>
        <w:top w:val="single" w:sz="4" w:space="0" w:color="auto"/>
      </w:tblBorders>
      <w:tblLook w:val="01E0" w:firstRow="1" w:lastRow="1" w:firstColumn="1" w:lastColumn="1" w:noHBand="0" w:noVBand="0"/>
    </w:tblPr>
    <w:tblGrid>
      <w:gridCol w:w="2319"/>
      <w:gridCol w:w="6853"/>
    </w:tblGrid>
    <w:tr w:rsidR="007D178C" w:rsidRPr="006B5ED7" w14:paraId="02DE21F0" w14:textId="77777777" w:rsidTr="005E5F50">
      <w:tc>
        <w:tcPr>
          <w:tcW w:w="1264" w:type="pct"/>
        </w:tcPr>
        <w:p w14:paraId="6B07B471" w14:textId="77777777" w:rsidR="007D178C" w:rsidRPr="007D178C" w:rsidRDefault="007D178C" w:rsidP="007D178C">
          <w:pPr>
            <w:tabs>
              <w:tab w:val="left" w:pos="1212"/>
            </w:tabs>
            <w:ind w:right="360"/>
            <w:rPr>
              <w:rFonts w:ascii="Times New Roman" w:hAnsi="Times New Roman" w:cs="Times New Roman"/>
              <w:i/>
              <w:sz w:val="18"/>
              <w:lang w:val="en-GB"/>
            </w:rPr>
          </w:pPr>
          <w:r w:rsidRPr="007D178C">
            <w:rPr>
              <w:rFonts w:ascii="Times New Roman" w:hAnsi="Times New Roman" w:cs="Times New Roman"/>
              <w:i/>
              <w:sz w:val="18"/>
              <w:lang w:val="en-GB"/>
            </w:rPr>
            <w:t xml:space="preserve">Milieu Ltd </w:t>
          </w:r>
        </w:p>
        <w:p w14:paraId="21A234E9" w14:textId="38F4293D" w:rsidR="007D178C" w:rsidRPr="007D178C" w:rsidRDefault="007D178C" w:rsidP="007D178C">
          <w:pPr>
            <w:tabs>
              <w:tab w:val="center" w:pos="4153"/>
              <w:tab w:val="right" w:pos="8306"/>
            </w:tabs>
            <w:ind w:right="360"/>
            <w:rPr>
              <w:rFonts w:ascii="Times New Roman" w:hAnsi="Times New Roman" w:cs="Times New Roman"/>
              <w:i/>
              <w:sz w:val="18"/>
              <w:lang w:val="en-GB"/>
            </w:rPr>
          </w:pPr>
        </w:p>
      </w:tc>
      <w:tc>
        <w:tcPr>
          <w:tcW w:w="3736" w:type="pct"/>
        </w:tcPr>
        <w:p w14:paraId="66D48ACF" w14:textId="76A349DF" w:rsidR="007D178C" w:rsidRPr="007D178C" w:rsidRDefault="007D178C" w:rsidP="007D178C">
          <w:pPr>
            <w:tabs>
              <w:tab w:val="center" w:pos="4153"/>
              <w:tab w:val="right" w:pos="8306"/>
            </w:tabs>
            <w:ind w:right="19"/>
            <w:jc w:val="right"/>
            <w:rPr>
              <w:rFonts w:ascii="Times New Roman" w:hAnsi="Times New Roman" w:cs="Times New Roman"/>
              <w:i/>
              <w:sz w:val="18"/>
              <w:lang w:val="en-GB"/>
            </w:rPr>
          </w:pPr>
          <w:r>
            <w:rPr>
              <w:rFonts w:ascii="Times New Roman" w:hAnsi="Times New Roman" w:cs="Times New Roman"/>
              <w:i/>
              <w:sz w:val="18"/>
              <w:lang w:val="en-GB"/>
            </w:rPr>
            <w:t>Executive Summary</w:t>
          </w:r>
          <w:r w:rsidRPr="007D178C">
            <w:rPr>
              <w:rFonts w:ascii="Times New Roman" w:hAnsi="Times New Roman" w:cs="Times New Roman"/>
              <w:i/>
              <w:sz w:val="18"/>
              <w:lang w:val="en-GB"/>
            </w:rPr>
            <w:t xml:space="preserve"> – Investors’ Schemes in Malta/</w:t>
          </w:r>
          <w:proofErr w:type="spellStart"/>
          <w:r>
            <w:rPr>
              <w:rFonts w:ascii="Times New Roman" w:hAnsi="Times New Roman" w:cs="Times New Roman"/>
              <w:i/>
              <w:sz w:val="18"/>
            </w:rPr>
            <w:t>i</w:t>
          </w:r>
          <w:proofErr w:type="spellEnd"/>
        </w:p>
      </w:tc>
    </w:tr>
  </w:tbl>
  <w:p w14:paraId="68EA48A0" w14:textId="77777777" w:rsidR="007D178C" w:rsidRDefault="007D17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FB5A1" w14:textId="77777777" w:rsidR="002F46E4" w:rsidRDefault="002F46E4" w:rsidP="00693AB7">
      <w:r>
        <w:separator/>
      </w:r>
    </w:p>
  </w:footnote>
  <w:footnote w:type="continuationSeparator" w:id="0">
    <w:p w14:paraId="7C873B70" w14:textId="77777777" w:rsidR="002F46E4" w:rsidRDefault="002F46E4" w:rsidP="00693AB7">
      <w:r>
        <w:continuationSeparator/>
      </w:r>
    </w:p>
  </w:footnote>
  <w:footnote w:id="1">
    <w:p w14:paraId="4C22F7F4" w14:textId="77777777" w:rsidR="00C05B60" w:rsidRPr="00622D8C" w:rsidRDefault="00C05B60" w:rsidP="00C05B60">
      <w:pPr>
        <w:pStyle w:val="FootnoteText"/>
        <w:rPr>
          <w:szCs w:val="20"/>
        </w:rPr>
      </w:pPr>
      <w:r w:rsidRPr="00622D8C">
        <w:rPr>
          <w:rStyle w:val="FootnoteReference"/>
          <w:szCs w:val="20"/>
        </w:rPr>
        <w:footnoteRef/>
      </w:r>
      <w:r w:rsidRPr="00622D8C">
        <w:rPr>
          <w:szCs w:val="20"/>
        </w:rPr>
        <w:t xml:space="preserve"> Subsidiary Legislation 188.013, Individual Investor Programme of the Republic of Malta Regulations, 4 February 2014, Legal Notice 47 of 2014: </w:t>
      </w:r>
      <w:hyperlink r:id="rId1" w:history="1">
        <w:r w:rsidRPr="00622D8C">
          <w:rPr>
            <w:rStyle w:val="Hyperlink"/>
            <w:szCs w:val="20"/>
          </w:rPr>
          <w:t>http://www.justiceservices.gov.mt/DownloadDocument.aspx?app=lom&amp;itemid=12141&amp;l=1</w:t>
        </w:r>
      </w:hyperlink>
      <w:r w:rsidRPr="00622D8C">
        <w:rPr>
          <w:szCs w:val="20"/>
        </w:rPr>
        <w:t>.</w:t>
      </w:r>
    </w:p>
  </w:footnote>
  <w:footnote w:id="2">
    <w:p w14:paraId="748F22DB" w14:textId="77777777" w:rsidR="00C05B60" w:rsidRPr="00622D8C" w:rsidRDefault="00C05B60" w:rsidP="00C05B60">
      <w:pPr>
        <w:pStyle w:val="FootnoteText"/>
        <w:rPr>
          <w:szCs w:val="20"/>
          <w:lang w:val="en-US"/>
        </w:rPr>
      </w:pPr>
      <w:r w:rsidRPr="00622D8C">
        <w:rPr>
          <w:rStyle w:val="FootnoteReference"/>
          <w:szCs w:val="20"/>
        </w:rPr>
        <w:footnoteRef/>
      </w:r>
      <w:r w:rsidRPr="00622D8C">
        <w:rPr>
          <w:szCs w:val="20"/>
        </w:rPr>
        <w:t xml:space="preserve"> </w:t>
      </w:r>
      <w:r w:rsidRPr="00622D8C">
        <w:rPr>
          <w:szCs w:val="20"/>
          <w:lang w:val="en-US"/>
        </w:rPr>
        <w:t xml:space="preserve"> Chapter 188 of the Laws of Malta, Maltese Citizenship Act, 21 September 1964, Act XXX of 1965 as last amended by Acts XV of 2103, XXIV of 2017 and XXVI of 2017: </w:t>
      </w:r>
      <w:hyperlink r:id="rId2" w:history="1">
        <w:r w:rsidRPr="00622D8C">
          <w:rPr>
            <w:rStyle w:val="Hyperlink"/>
            <w:szCs w:val="20"/>
          </w:rPr>
          <w:t>http://www.justiceservices.gov.mt/DownloadDocument.aspx?app=lom&amp;itemid=8702&amp;l=1</w:t>
        </w:r>
      </w:hyperlink>
      <w:r w:rsidRPr="00622D8C">
        <w:rPr>
          <w:szCs w:val="20"/>
          <w:lang w:val="en-US"/>
        </w:rPr>
        <w:t xml:space="preserve">. </w:t>
      </w:r>
    </w:p>
  </w:footnote>
  <w:footnote w:id="3">
    <w:p w14:paraId="0F081472" w14:textId="16CB8DF8" w:rsidR="00245004" w:rsidRPr="00622D8C" w:rsidRDefault="00245004" w:rsidP="009679DA">
      <w:pPr>
        <w:pStyle w:val="FootnoteText"/>
        <w:rPr>
          <w:bCs/>
          <w:szCs w:val="20"/>
        </w:rPr>
      </w:pPr>
      <w:r w:rsidRPr="00622D8C">
        <w:rPr>
          <w:rStyle w:val="FootnoteReference"/>
          <w:szCs w:val="20"/>
        </w:rPr>
        <w:footnoteRef/>
      </w:r>
      <w:r w:rsidRPr="00622D8C">
        <w:rPr>
          <w:szCs w:val="20"/>
        </w:rPr>
        <w:t xml:space="preserve"> </w:t>
      </w:r>
      <w:r w:rsidRPr="00622D8C">
        <w:rPr>
          <w:bCs/>
          <w:szCs w:val="20"/>
        </w:rPr>
        <w:t xml:space="preserve">Subsidiary Legislation 217.18, Malta Residence and Visa Programme Regulations, 25 August 2015, Legal Notice 288 of 2015, as amended by Legal Notice 189 of 2017: </w:t>
      </w:r>
      <w:hyperlink r:id="rId3" w:history="1">
        <w:r w:rsidRPr="00622D8C">
          <w:rPr>
            <w:rStyle w:val="Hyperlink"/>
            <w:szCs w:val="20"/>
          </w:rPr>
          <w:t>http://www.justiceservices.gov.mt/DownloadDocument.aspx?app=lom&amp;itemid=12397&amp;l=1</w:t>
        </w:r>
      </w:hyperlink>
      <w:r w:rsidRPr="00622D8C">
        <w:rPr>
          <w:bCs/>
          <w:szCs w:val="20"/>
        </w:rPr>
        <w:t xml:space="preserve"> </w:t>
      </w:r>
    </w:p>
  </w:footnote>
  <w:footnote w:id="4">
    <w:p w14:paraId="440501BA" w14:textId="77777777" w:rsidR="00245004" w:rsidRPr="00622D8C" w:rsidRDefault="00245004" w:rsidP="00693AB7">
      <w:pPr>
        <w:pStyle w:val="FootnoteText"/>
        <w:rPr>
          <w:szCs w:val="20"/>
          <w:lang w:val="en-US"/>
        </w:rPr>
      </w:pPr>
      <w:r w:rsidRPr="00622D8C">
        <w:rPr>
          <w:rStyle w:val="FootnoteReference"/>
          <w:szCs w:val="20"/>
        </w:rPr>
        <w:footnoteRef/>
      </w:r>
      <w:r w:rsidRPr="00622D8C">
        <w:rPr>
          <w:szCs w:val="20"/>
        </w:rPr>
        <w:t xml:space="preserve"> </w:t>
      </w:r>
      <w:r w:rsidRPr="00622D8C">
        <w:rPr>
          <w:szCs w:val="20"/>
          <w:lang w:val="en-US"/>
        </w:rPr>
        <w:t xml:space="preserve">Chapter 217 of the Laws of Malta, Immigration Act, 21 September 1970, Act IX of 1970 as last amended by Act XXXVI of 2015: </w:t>
      </w:r>
      <w:hyperlink r:id="rId4" w:history="1">
        <w:r w:rsidRPr="00622D8C">
          <w:rPr>
            <w:rStyle w:val="Hyperlink"/>
            <w:szCs w:val="20"/>
            <w:lang w:val="en-US"/>
          </w:rPr>
          <w:t>http://www.justiceservices.gov.mt/DownloadDocument.aspx?app=lom&amp;itemid=8722&amp;l=1</w:t>
        </w:r>
      </w:hyperlink>
      <w:r w:rsidRPr="00622D8C">
        <w:rPr>
          <w:szCs w:val="20"/>
          <w:lang w:val="en-US"/>
        </w:rPr>
        <w:t xml:space="preserve"> </w:t>
      </w:r>
    </w:p>
  </w:footnote>
  <w:footnote w:id="5">
    <w:p w14:paraId="5B705E2E" w14:textId="77777777" w:rsidR="00245004" w:rsidRPr="00622D8C" w:rsidRDefault="00245004" w:rsidP="001A1C12">
      <w:pPr>
        <w:pStyle w:val="FootnoteText"/>
        <w:rPr>
          <w:szCs w:val="20"/>
          <w:lang w:val="en-US"/>
        </w:rPr>
      </w:pPr>
      <w:r w:rsidRPr="00622D8C">
        <w:rPr>
          <w:rStyle w:val="FootnoteReference"/>
          <w:szCs w:val="20"/>
        </w:rPr>
        <w:footnoteRef/>
      </w:r>
      <w:r w:rsidRPr="00622D8C">
        <w:rPr>
          <w:szCs w:val="20"/>
        </w:rPr>
        <w:t xml:space="preserve"> Subsidiary Legislation 497.07, Identity Malta Agency (Establishment) Order, 10 September 2103, Legal Notice 269 of 2013, as amended by Legal Notices 101 of 2016 and 95 of 2018: </w:t>
      </w:r>
      <w:hyperlink r:id="rId5" w:history="1">
        <w:r w:rsidRPr="00622D8C">
          <w:rPr>
            <w:rStyle w:val="Hyperlink"/>
            <w:szCs w:val="20"/>
          </w:rPr>
          <w:t>http://www.justiceservices.gov.mt/DownloadDocument.aspx?app=lom&amp;itemid=12096&amp;l=1</w:t>
        </w:r>
      </w:hyperlink>
      <w:r w:rsidRPr="00622D8C">
        <w:rPr>
          <w:szCs w:val="20"/>
        </w:rPr>
        <w:t xml:space="preserve">. </w:t>
      </w:r>
    </w:p>
  </w:footnote>
  <w:footnote w:id="6">
    <w:p w14:paraId="66AB4F9B" w14:textId="77777777" w:rsidR="00245004" w:rsidRPr="00B72CEE" w:rsidRDefault="00245004" w:rsidP="00E85FDD">
      <w:pPr>
        <w:pStyle w:val="FootnoteText"/>
        <w:rPr>
          <w:szCs w:val="20"/>
        </w:rPr>
      </w:pPr>
      <w:r w:rsidRPr="00B72CEE">
        <w:rPr>
          <w:rStyle w:val="FootnoteReference"/>
          <w:szCs w:val="20"/>
        </w:rPr>
        <w:footnoteRef/>
      </w:r>
      <w:r w:rsidRPr="00B72CEE">
        <w:rPr>
          <w:szCs w:val="20"/>
        </w:rPr>
        <w:t xml:space="preserve"> Subsidiary Legislation 497.25, Malta Individual Investor Programme Agency (Establishment) Order, 29 March 2018, Legal Notice 96 of 2018: </w:t>
      </w:r>
      <w:hyperlink r:id="rId6" w:history="1">
        <w:r w:rsidRPr="00B72CEE">
          <w:rPr>
            <w:rStyle w:val="Hyperlink"/>
            <w:szCs w:val="20"/>
          </w:rPr>
          <w:t>http://www.justiceservices.gov.mt/DownloadDocument.aspx?app=lom&amp;itemid=12809&amp;l=1</w:t>
        </w:r>
      </w:hyperlink>
      <w:r w:rsidRPr="00B72CEE">
        <w:rPr>
          <w:szCs w:val="20"/>
        </w:rPr>
        <w:t xml:space="preserve">. </w:t>
      </w:r>
    </w:p>
  </w:footnote>
  <w:footnote w:id="7">
    <w:p w14:paraId="438636DC" w14:textId="77777777" w:rsidR="00245004" w:rsidRPr="00B72CEE" w:rsidRDefault="00245004" w:rsidP="001A1C12">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 xml:space="preserve">Subsidiary Legislation 497.21, Malta Residency Visa (Establishment of an Agency) Order, 21 April 2017, Legal Notice 107 of 2017 as amended by Legal Notice 201 of 2017: </w:t>
      </w:r>
      <w:hyperlink r:id="rId7" w:history="1">
        <w:r w:rsidRPr="00B72CEE">
          <w:rPr>
            <w:rStyle w:val="Hyperlink"/>
            <w:szCs w:val="20"/>
            <w:lang w:val="en-US"/>
          </w:rPr>
          <w:t>http://www.justiceservices.gov.mt/DownloadDocument.aspx?app=lom&amp;itemid=12655&amp;l=1</w:t>
        </w:r>
      </w:hyperlink>
      <w:r w:rsidRPr="00B72CEE">
        <w:rPr>
          <w:szCs w:val="20"/>
          <w:lang w:val="en-US"/>
        </w:rPr>
        <w:t xml:space="preserve">. </w:t>
      </w:r>
    </w:p>
  </w:footnote>
  <w:footnote w:id="8">
    <w:p w14:paraId="17BCB979" w14:textId="77777777" w:rsidR="00245004" w:rsidRDefault="00245004" w:rsidP="00A80C45">
      <w:pPr>
        <w:pStyle w:val="FootnoteText"/>
      </w:pPr>
      <w:r>
        <w:rPr>
          <w:rStyle w:val="FootnoteReference"/>
        </w:rPr>
        <w:footnoteRef/>
      </w:r>
      <w:r>
        <w:t xml:space="preserve"> Information obtained through email correspondence with Identity Malta representative on 15 March 2018.</w:t>
      </w:r>
    </w:p>
  </w:footnote>
  <w:footnote w:id="9">
    <w:p w14:paraId="44ECBEC8" w14:textId="17D9D12F" w:rsidR="00245004" w:rsidRPr="00B72CEE" w:rsidRDefault="00245004" w:rsidP="004247C2">
      <w:pPr>
        <w:pStyle w:val="FootnoteText"/>
        <w:rPr>
          <w:bCs/>
          <w:szCs w:val="20"/>
        </w:rPr>
      </w:pPr>
      <w:r w:rsidRPr="00B72CEE">
        <w:rPr>
          <w:rStyle w:val="FootnoteReference"/>
          <w:szCs w:val="20"/>
        </w:rPr>
        <w:footnoteRef/>
      </w:r>
      <w:r w:rsidRPr="00B72CEE">
        <w:rPr>
          <w:szCs w:val="20"/>
        </w:rPr>
        <w:t xml:space="preserve"> </w:t>
      </w:r>
      <w:r w:rsidRPr="00B72CEE">
        <w:rPr>
          <w:szCs w:val="20"/>
          <w:lang w:val="en-US"/>
        </w:rPr>
        <w:t xml:space="preserve">Regulation 4(1) of LN 47/2014. </w:t>
      </w:r>
    </w:p>
  </w:footnote>
  <w:footnote w:id="10">
    <w:p w14:paraId="54C54933" w14:textId="77777777" w:rsidR="00245004" w:rsidRPr="00B72CEE" w:rsidRDefault="00245004" w:rsidP="0067102C">
      <w:pPr>
        <w:pStyle w:val="FootnoteText"/>
        <w:rPr>
          <w:szCs w:val="20"/>
          <w:lang w:val="en-US"/>
        </w:rPr>
      </w:pPr>
      <w:r w:rsidRPr="00B72CEE">
        <w:rPr>
          <w:rStyle w:val="FootnoteReference"/>
          <w:szCs w:val="20"/>
        </w:rPr>
        <w:footnoteRef/>
      </w:r>
      <w:r w:rsidRPr="00B72CEE">
        <w:rPr>
          <w:szCs w:val="20"/>
        </w:rPr>
        <w:t xml:space="preserve"> Identity Malta Agency, ‘Malta Individual Investor Programme Checklist and Guidelines’, Version 2.0 – 2015, p. 3: </w:t>
      </w:r>
      <w:hyperlink r:id="rId8" w:history="1">
        <w:r w:rsidRPr="00B72CEE">
          <w:rPr>
            <w:rStyle w:val="Hyperlink"/>
            <w:szCs w:val="20"/>
          </w:rPr>
          <w:t>http://iip.gov.mt/wp-content/uploads/2014/02/MIIP-Checklist-and-Guidelines-V2-1.pdf</w:t>
        </w:r>
      </w:hyperlink>
      <w:r w:rsidRPr="00B72CEE">
        <w:rPr>
          <w:szCs w:val="20"/>
        </w:rPr>
        <w:t xml:space="preserve">. </w:t>
      </w:r>
    </w:p>
  </w:footnote>
  <w:footnote w:id="11">
    <w:p w14:paraId="07006488" w14:textId="42E2DB0E" w:rsidR="00C05B60" w:rsidRPr="00CE6C8A" w:rsidRDefault="00C05B60" w:rsidP="00C05B60">
      <w:pPr>
        <w:pStyle w:val="FootnoteText"/>
        <w:rPr>
          <w:szCs w:val="20"/>
          <w:lang w:val="en-US"/>
        </w:rPr>
      </w:pPr>
      <w:r w:rsidRPr="00422901">
        <w:rPr>
          <w:rStyle w:val="FootnoteReference"/>
          <w:szCs w:val="20"/>
        </w:rPr>
        <w:footnoteRef/>
      </w:r>
      <w:r w:rsidRPr="00422901">
        <w:rPr>
          <w:szCs w:val="20"/>
        </w:rPr>
        <w:t xml:space="preserve"> Regulation 7(12) of LN 47/2014</w:t>
      </w:r>
      <w:r w:rsidR="00440E1A">
        <w:rPr>
          <w:szCs w:val="20"/>
        </w:rPr>
        <w:t>.</w:t>
      </w:r>
    </w:p>
  </w:footnote>
  <w:footnote w:id="12">
    <w:p w14:paraId="646600FE" w14:textId="77777777" w:rsidR="00245004" w:rsidRDefault="00245004" w:rsidP="002B6498">
      <w:pPr>
        <w:pStyle w:val="FootnoteText"/>
      </w:pPr>
      <w:r>
        <w:rPr>
          <w:rStyle w:val="FootnoteReference"/>
        </w:rPr>
        <w:footnoteRef/>
      </w:r>
      <w:r>
        <w:t xml:space="preserve"> This covers a number of checks on the applicant’s background and the source of funds done by the agent.</w:t>
      </w:r>
    </w:p>
  </w:footnote>
  <w:footnote w:id="13">
    <w:p w14:paraId="6692A30C" w14:textId="77777777" w:rsidR="00245004" w:rsidRPr="00B72CEE" w:rsidRDefault="00245004" w:rsidP="002B6498">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Regulation 7 of LN 47/2014.</w:t>
      </w:r>
    </w:p>
  </w:footnote>
  <w:footnote w:id="14">
    <w:p w14:paraId="3D617EBF" w14:textId="1FA94BA3" w:rsidR="00543C79" w:rsidRPr="00B72CEE" w:rsidRDefault="00543C79" w:rsidP="00543C79">
      <w:pPr>
        <w:pStyle w:val="FootnoteText"/>
        <w:rPr>
          <w:szCs w:val="20"/>
          <w:lang w:val="en-US"/>
        </w:rPr>
      </w:pPr>
      <w:r w:rsidRPr="00B72CEE">
        <w:rPr>
          <w:rStyle w:val="FootnoteReference"/>
          <w:szCs w:val="20"/>
        </w:rPr>
        <w:footnoteRef/>
      </w:r>
      <w:r w:rsidRPr="00B72CEE">
        <w:rPr>
          <w:szCs w:val="20"/>
        </w:rPr>
        <w:t xml:space="preserve"> Identity Malta Agency, ‘Malta Individual Investor Programme Checklist and Guidel</w:t>
      </w:r>
      <w:r>
        <w:rPr>
          <w:szCs w:val="20"/>
        </w:rPr>
        <w:t>ines’, Version 2.0 – 2015, p.28.</w:t>
      </w:r>
    </w:p>
  </w:footnote>
  <w:footnote w:id="15">
    <w:p w14:paraId="39F3DDB9" w14:textId="77777777" w:rsidR="00543C79" w:rsidRPr="00B72CEE" w:rsidRDefault="00543C79" w:rsidP="00543C79">
      <w:pPr>
        <w:pStyle w:val="FootnoteText"/>
        <w:rPr>
          <w:szCs w:val="20"/>
          <w:lang w:val="en-US"/>
        </w:rPr>
      </w:pPr>
      <w:r w:rsidRPr="00B72CEE">
        <w:rPr>
          <w:rStyle w:val="FootnoteReference"/>
          <w:szCs w:val="20"/>
        </w:rPr>
        <w:footnoteRef/>
      </w:r>
      <w:r w:rsidRPr="00B72CEE">
        <w:rPr>
          <w:szCs w:val="20"/>
        </w:rPr>
        <w:t xml:space="preserve"> Identity Malta Agency, ‘Malta Individual Investor Programme Checklist and Guidel</w:t>
      </w:r>
      <w:r>
        <w:rPr>
          <w:szCs w:val="20"/>
        </w:rPr>
        <w:t>ines’, Version 2.0 – 2015, p.3.</w:t>
      </w:r>
    </w:p>
  </w:footnote>
  <w:footnote w:id="16">
    <w:p w14:paraId="39209457" w14:textId="2CFCA77D" w:rsidR="00245004" w:rsidRPr="00CE6C8A" w:rsidRDefault="00245004">
      <w:pPr>
        <w:pStyle w:val="FootnoteText"/>
        <w:rPr>
          <w:szCs w:val="20"/>
          <w:lang w:val="en-US"/>
        </w:rPr>
      </w:pPr>
      <w:r w:rsidRPr="00622D8C">
        <w:rPr>
          <w:rStyle w:val="FootnoteReference"/>
          <w:szCs w:val="20"/>
        </w:rPr>
        <w:footnoteRef/>
      </w:r>
      <w:r w:rsidRPr="00622D8C">
        <w:rPr>
          <w:szCs w:val="20"/>
        </w:rPr>
        <w:t xml:space="preserve"> </w:t>
      </w:r>
      <w:r>
        <w:rPr>
          <w:szCs w:val="20"/>
        </w:rPr>
        <w:t xml:space="preserve">Regulations </w:t>
      </w:r>
      <w:r w:rsidRPr="00B72CEE">
        <w:rPr>
          <w:szCs w:val="20"/>
        </w:rPr>
        <w:t>4(1)(e)</w:t>
      </w:r>
      <w:r>
        <w:rPr>
          <w:szCs w:val="20"/>
        </w:rPr>
        <w:t xml:space="preserve">, 7(5) and 7(6) of LN 47/2014 and </w:t>
      </w:r>
      <w:r w:rsidRPr="00622D8C">
        <w:rPr>
          <w:szCs w:val="20"/>
        </w:rPr>
        <w:t>Schedule to LN 47/2014</w:t>
      </w:r>
      <w:r w:rsidRPr="00422901">
        <w:rPr>
          <w:szCs w:val="20"/>
        </w:rPr>
        <w:t>.</w:t>
      </w:r>
    </w:p>
  </w:footnote>
  <w:footnote w:id="17">
    <w:p w14:paraId="037CE991" w14:textId="0FC86F02" w:rsidR="00245004" w:rsidRDefault="00245004">
      <w:pPr>
        <w:pStyle w:val="FootnoteText"/>
      </w:pPr>
      <w:r>
        <w:rPr>
          <w:rStyle w:val="FootnoteReference"/>
        </w:rPr>
        <w:footnoteRef/>
      </w:r>
      <w:r>
        <w:t xml:space="preserve"> Regulation 7(5) and (6) of LN 47/2014.</w:t>
      </w:r>
    </w:p>
  </w:footnote>
  <w:footnote w:id="18">
    <w:p w14:paraId="52D48D57" w14:textId="77777777" w:rsidR="00245004" w:rsidRPr="00422901" w:rsidRDefault="00245004" w:rsidP="00396CA4">
      <w:pPr>
        <w:pStyle w:val="FootnoteText"/>
        <w:rPr>
          <w:szCs w:val="20"/>
        </w:rPr>
      </w:pPr>
      <w:r w:rsidRPr="00622D8C">
        <w:rPr>
          <w:rStyle w:val="FootnoteReference"/>
          <w:szCs w:val="20"/>
        </w:rPr>
        <w:footnoteRef/>
      </w:r>
      <w:r w:rsidRPr="00622D8C">
        <w:rPr>
          <w:szCs w:val="20"/>
        </w:rPr>
        <w:t xml:space="preserve"> In</w:t>
      </w:r>
      <w:r w:rsidRPr="00422901">
        <w:rPr>
          <w:szCs w:val="20"/>
        </w:rPr>
        <w:t>formation obtained through consultation with Identity Malta representatives on 8 March 2018.</w:t>
      </w:r>
    </w:p>
  </w:footnote>
  <w:footnote w:id="19">
    <w:p w14:paraId="609AC322" w14:textId="77777777" w:rsidR="00245004" w:rsidRPr="00B72CEE" w:rsidRDefault="00245004" w:rsidP="00DE4E0A">
      <w:pPr>
        <w:pStyle w:val="FootnoteText"/>
        <w:rPr>
          <w:szCs w:val="20"/>
        </w:rPr>
      </w:pPr>
      <w:r w:rsidRPr="00B72CEE">
        <w:rPr>
          <w:rStyle w:val="FootnoteReference"/>
          <w:szCs w:val="20"/>
        </w:rPr>
        <w:footnoteRef/>
      </w:r>
      <w:r w:rsidRPr="00B72CEE">
        <w:rPr>
          <w:szCs w:val="20"/>
        </w:rPr>
        <w:t xml:space="preserve"> Information obtained through consultation with Identity Malta representatives on 8 March 2018.</w:t>
      </w:r>
    </w:p>
  </w:footnote>
  <w:footnote w:id="20">
    <w:p w14:paraId="520063AC" w14:textId="77777777" w:rsidR="00245004" w:rsidRPr="00B72CEE" w:rsidRDefault="00245004" w:rsidP="006249BF">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Article 25 of the Maltese Citizenship Act.</w:t>
      </w:r>
    </w:p>
  </w:footnote>
  <w:footnote w:id="21">
    <w:p w14:paraId="73FC93A6" w14:textId="77777777" w:rsidR="00245004" w:rsidRPr="00B72CEE" w:rsidRDefault="00245004" w:rsidP="006249BF">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Article 25B of the Maltese Citizenship Act.</w:t>
      </w:r>
    </w:p>
  </w:footnote>
  <w:footnote w:id="22">
    <w:p w14:paraId="3BB94329" w14:textId="77777777" w:rsidR="00245004" w:rsidRPr="00B72CEE" w:rsidRDefault="00245004" w:rsidP="00732ED3">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Regulation 6(1) of LN 288/2015.</w:t>
      </w:r>
    </w:p>
  </w:footnote>
  <w:footnote w:id="23">
    <w:p w14:paraId="6C258E27" w14:textId="6AE5C0B8" w:rsidR="00245004" w:rsidRPr="00B72CEE" w:rsidRDefault="00245004" w:rsidP="006D595F">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Regulation 5 of LN 288/2015.</w:t>
      </w:r>
    </w:p>
  </w:footnote>
  <w:footnote w:id="24">
    <w:p w14:paraId="77CB6F44" w14:textId="77777777" w:rsidR="00245004" w:rsidRPr="00B72CEE" w:rsidRDefault="00245004" w:rsidP="006D595F">
      <w:pPr>
        <w:pStyle w:val="FootnoteText"/>
        <w:rPr>
          <w:szCs w:val="20"/>
        </w:rPr>
      </w:pPr>
      <w:r w:rsidRPr="00B72CEE">
        <w:rPr>
          <w:rStyle w:val="FootnoteReference"/>
          <w:szCs w:val="20"/>
        </w:rPr>
        <w:footnoteRef/>
      </w:r>
      <w:r w:rsidRPr="00B72CEE">
        <w:rPr>
          <w:szCs w:val="20"/>
        </w:rPr>
        <w:t xml:space="preserve"> Information obtained through stakeholder consultation with MRVA representative on 7 March 2018.</w:t>
      </w:r>
    </w:p>
  </w:footnote>
  <w:footnote w:id="25">
    <w:p w14:paraId="2357804F" w14:textId="016220A1" w:rsidR="00245004" w:rsidRPr="00896F9F" w:rsidRDefault="00245004">
      <w:pPr>
        <w:pStyle w:val="FootnoteText"/>
        <w:rPr>
          <w:szCs w:val="20"/>
          <w:lang w:val="en-US"/>
        </w:rPr>
      </w:pPr>
      <w:r w:rsidRPr="00622D8C">
        <w:rPr>
          <w:rStyle w:val="FootnoteReference"/>
          <w:szCs w:val="20"/>
        </w:rPr>
        <w:footnoteRef/>
      </w:r>
      <w:r w:rsidRPr="00622D8C">
        <w:rPr>
          <w:szCs w:val="20"/>
        </w:rPr>
        <w:t xml:space="preserve"> Regulations 2 and 5(3) of LN 288/2015</w:t>
      </w:r>
      <w:r>
        <w:rPr>
          <w:szCs w:val="20"/>
        </w:rPr>
        <w:t>.</w:t>
      </w:r>
    </w:p>
  </w:footnote>
  <w:footnote w:id="26">
    <w:p w14:paraId="58658AED" w14:textId="777ECF15" w:rsidR="00245004" w:rsidRPr="00622D8C" w:rsidRDefault="00245004">
      <w:pPr>
        <w:pStyle w:val="FootnoteText"/>
        <w:rPr>
          <w:szCs w:val="20"/>
        </w:rPr>
      </w:pPr>
      <w:r w:rsidRPr="00622D8C">
        <w:rPr>
          <w:rStyle w:val="FootnoteReference"/>
          <w:szCs w:val="20"/>
        </w:rPr>
        <w:footnoteRef/>
      </w:r>
      <w:r w:rsidRPr="00622D8C">
        <w:rPr>
          <w:szCs w:val="20"/>
        </w:rPr>
        <w:t xml:space="preserve"> Regulations 4(a), 8(1)(c) and (d) of LN 288/2015.</w:t>
      </w:r>
    </w:p>
  </w:footnote>
  <w:footnote w:id="27">
    <w:p w14:paraId="302941D2" w14:textId="5767D04D" w:rsidR="00245004" w:rsidRPr="00896F9F" w:rsidRDefault="00245004">
      <w:pPr>
        <w:pStyle w:val="FootnoteText"/>
        <w:rPr>
          <w:szCs w:val="20"/>
          <w:lang w:val="en-US"/>
        </w:rPr>
      </w:pPr>
      <w:r w:rsidRPr="00422901">
        <w:rPr>
          <w:rStyle w:val="FootnoteReference"/>
          <w:szCs w:val="20"/>
        </w:rPr>
        <w:footnoteRef/>
      </w:r>
      <w:r w:rsidRPr="00482E0A">
        <w:rPr>
          <w:szCs w:val="20"/>
        </w:rPr>
        <w:t xml:space="preserve"> </w:t>
      </w:r>
      <w:r w:rsidRPr="00896F9F">
        <w:rPr>
          <w:bCs/>
          <w:szCs w:val="20"/>
        </w:rPr>
        <w:t>Regulation 3 of LN 288/2015</w:t>
      </w:r>
      <w:r>
        <w:rPr>
          <w:bCs/>
          <w:szCs w:val="20"/>
        </w:rPr>
        <w:t>.</w:t>
      </w:r>
    </w:p>
  </w:footnote>
  <w:footnote w:id="28">
    <w:p w14:paraId="26CAC7C2" w14:textId="77777777" w:rsidR="00245004" w:rsidRPr="00422901" w:rsidRDefault="00245004" w:rsidP="00E842B7">
      <w:pPr>
        <w:pStyle w:val="FootnoteText"/>
        <w:rPr>
          <w:szCs w:val="20"/>
          <w:lang w:val="en-US"/>
        </w:rPr>
      </w:pPr>
      <w:r w:rsidRPr="00622D8C">
        <w:rPr>
          <w:rStyle w:val="FootnoteReference"/>
          <w:szCs w:val="20"/>
        </w:rPr>
        <w:footnoteRef/>
      </w:r>
      <w:r w:rsidRPr="00422901">
        <w:rPr>
          <w:szCs w:val="20"/>
        </w:rPr>
        <w:t xml:space="preserve"> </w:t>
      </w:r>
      <w:r w:rsidRPr="00422901">
        <w:rPr>
          <w:szCs w:val="20"/>
          <w:lang w:val="en-US"/>
        </w:rPr>
        <w:t>Regulation 11(1) of LN 288/2015.</w:t>
      </w:r>
    </w:p>
  </w:footnote>
  <w:footnote w:id="29">
    <w:p w14:paraId="6B4E75ED" w14:textId="77777777" w:rsidR="00245004" w:rsidRPr="00B72CEE" w:rsidRDefault="00245004" w:rsidP="0079131C">
      <w:pPr>
        <w:pStyle w:val="FootnoteText"/>
        <w:rPr>
          <w:szCs w:val="20"/>
          <w:lang w:val="en-US"/>
        </w:rPr>
      </w:pPr>
      <w:r w:rsidRPr="00B72CEE">
        <w:rPr>
          <w:rStyle w:val="FootnoteReference"/>
          <w:szCs w:val="20"/>
        </w:rPr>
        <w:footnoteRef/>
      </w:r>
      <w:r w:rsidRPr="00B72CEE">
        <w:rPr>
          <w:szCs w:val="20"/>
        </w:rPr>
        <w:t xml:space="preserve"> Article 21, paragraph 1, </w:t>
      </w:r>
      <w:r w:rsidRPr="00B72CEE">
        <w:rPr>
          <w:szCs w:val="20"/>
          <w:lang w:val="en-US"/>
        </w:rPr>
        <w:t>Convention implementing the Schengen Agreement of 14 June 1985 between the Governments of the States of the Benelux Economic Union, the Federal Republic of Germany and the French Republic on the gradual abolition of checks at their common borders.</w:t>
      </w:r>
    </w:p>
  </w:footnote>
  <w:footnote w:id="30">
    <w:p w14:paraId="3C0EF125" w14:textId="74FAAB78" w:rsidR="00245004" w:rsidRPr="00B72CEE" w:rsidRDefault="00245004" w:rsidP="0079131C">
      <w:pPr>
        <w:pStyle w:val="FootnoteText"/>
        <w:rPr>
          <w:szCs w:val="20"/>
          <w:lang w:val="en-US"/>
        </w:rPr>
      </w:pPr>
      <w:r w:rsidRPr="00B72CEE">
        <w:rPr>
          <w:rStyle w:val="FootnoteReference"/>
          <w:szCs w:val="20"/>
        </w:rPr>
        <w:footnoteRef/>
      </w:r>
      <w:r w:rsidRPr="00B72CEE">
        <w:rPr>
          <w:szCs w:val="20"/>
        </w:rPr>
        <w:t xml:space="preserve"> </w:t>
      </w:r>
      <w:r w:rsidRPr="00B72CEE">
        <w:rPr>
          <w:szCs w:val="20"/>
          <w:lang w:val="en-US"/>
        </w:rPr>
        <w:t>M</w:t>
      </w:r>
      <w:r>
        <w:rPr>
          <w:szCs w:val="20"/>
          <w:lang w:val="en-US"/>
        </w:rPr>
        <w:t xml:space="preserve">RVP, Frequently Asked Questions - </w:t>
      </w:r>
      <w:r w:rsidRPr="00B72CEE">
        <w:rPr>
          <w:szCs w:val="20"/>
          <w:lang w:val="en-US"/>
        </w:rPr>
        <w:t xml:space="preserve">Identity Malta: </w:t>
      </w:r>
      <w:hyperlink r:id="rId9" w:history="1">
        <w:r w:rsidRPr="00B72CEE">
          <w:rPr>
            <w:rStyle w:val="Hyperlink"/>
            <w:szCs w:val="20"/>
            <w:lang w:val="en-US"/>
          </w:rPr>
          <w:t>https://identitymalta.com/wp-content/uploads/2016/05/FAQ-V5.0.pdf</w:t>
        </w:r>
      </w:hyperlink>
    </w:p>
  </w:footnote>
  <w:footnote w:id="31">
    <w:p w14:paraId="2445EF96" w14:textId="65639426" w:rsidR="00245004" w:rsidRPr="00B72CEE" w:rsidRDefault="00245004" w:rsidP="009A0292">
      <w:pPr>
        <w:pStyle w:val="FootnoteText"/>
        <w:rPr>
          <w:szCs w:val="20"/>
          <w:lang w:val="en-US"/>
        </w:rPr>
      </w:pPr>
      <w:r w:rsidRPr="00B72CEE">
        <w:rPr>
          <w:rStyle w:val="FootnoteReference"/>
          <w:szCs w:val="20"/>
        </w:rPr>
        <w:footnoteRef/>
      </w:r>
      <w:r w:rsidRPr="00B72CEE">
        <w:rPr>
          <w:szCs w:val="20"/>
        </w:rPr>
        <w:t xml:space="preserve"> </w:t>
      </w:r>
      <w:r w:rsidRPr="00B72CEE">
        <w:rPr>
          <w:bCs/>
          <w:szCs w:val="20"/>
        </w:rPr>
        <w:t>Subsidiary Legislation 123.148, Global Residence Programme Rules, 1 July 2013, Legal Notice 167 of 2013, as amended by Legal Notice 267 of 2014</w:t>
      </w:r>
      <w:r>
        <w:rPr>
          <w:bCs/>
          <w:szCs w:val="20"/>
        </w:rPr>
        <w:t xml:space="preserve"> (LN 167/2013)</w:t>
      </w:r>
      <w:r w:rsidRPr="00B72CEE">
        <w:rPr>
          <w:bCs/>
          <w:szCs w:val="20"/>
        </w:rPr>
        <w:t xml:space="preserve">: </w:t>
      </w:r>
      <w:hyperlink r:id="rId10" w:history="1">
        <w:r w:rsidRPr="00B72CEE">
          <w:rPr>
            <w:rStyle w:val="Hyperlink"/>
            <w:szCs w:val="20"/>
          </w:rPr>
          <w:t>http://www.justiceservices.gov.mt/DownloadDocument.aspx?app=lom&amp;itemid=12062&amp;l=1</w:t>
        </w:r>
      </w:hyperlink>
      <w:r w:rsidRPr="00B83867">
        <w:rPr>
          <w:rStyle w:val="Hyperlink"/>
          <w:szCs w:val="20"/>
          <w:u w:val="none"/>
        </w:rPr>
        <w:t xml:space="preserve"> </w:t>
      </w:r>
      <w:r w:rsidRPr="00B72CEE">
        <w:rPr>
          <w:bCs/>
          <w:szCs w:val="20"/>
        </w:rPr>
        <w:t xml:space="preserve">adopted under </w:t>
      </w:r>
      <w:r w:rsidRPr="00B72CEE">
        <w:rPr>
          <w:szCs w:val="20"/>
        </w:rPr>
        <w:t xml:space="preserve">Chapter 123 of the Laws of Malta, Income Tax Act, 1 January 1949, Act LIV of 1949 as last amended by Act VII of 2018: </w:t>
      </w:r>
      <w:hyperlink r:id="rId11" w:history="1">
        <w:r w:rsidRPr="00B72CEE">
          <w:rPr>
            <w:rStyle w:val="Hyperlink"/>
            <w:szCs w:val="20"/>
          </w:rPr>
          <w:t>http://www.justiceservices.gov.mt/DownloadDocument.aspx?app=lom&amp;itemid=8658&amp;l=1</w:t>
        </w:r>
      </w:hyperlink>
      <w:r w:rsidRPr="00B72CEE">
        <w:rPr>
          <w:rStyle w:val="Hyperlink"/>
          <w:szCs w:val="20"/>
        </w:rPr>
        <w:t xml:space="preserve">. </w:t>
      </w:r>
    </w:p>
  </w:footnote>
  <w:footnote w:id="32">
    <w:p w14:paraId="432822D2" w14:textId="1845A5FA" w:rsidR="00245004" w:rsidRPr="00896F9F" w:rsidRDefault="00245004">
      <w:pPr>
        <w:pStyle w:val="FootnoteText"/>
        <w:rPr>
          <w:lang w:val="en-US"/>
        </w:rPr>
      </w:pPr>
      <w:r>
        <w:rPr>
          <w:rStyle w:val="FootnoteReference"/>
        </w:rPr>
        <w:footnoteRef/>
      </w:r>
      <w:r>
        <w:t xml:space="preserve"> </w:t>
      </w:r>
      <w:r w:rsidRPr="00F6121A">
        <w:t>R</w:t>
      </w:r>
      <w:r>
        <w:t>ule</w:t>
      </w:r>
      <w:r w:rsidRPr="00F6121A">
        <w:t xml:space="preserve"> 4 of LN 167/2013</w:t>
      </w:r>
      <w:r>
        <w:t>.</w:t>
      </w:r>
    </w:p>
  </w:footnote>
  <w:footnote w:id="33">
    <w:p w14:paraId="2A050A7C" w14:textId="77777777" w:rsidR="00245004" w:rsidRPr="00622D8C" w:rsidRDefault="00245004" w:rsidP="0013456F">
      <w:pPr>
        <w:pStyle w:val="FootnoteText"/>
        <w:rPr>
          <w:szCs w:val="20"/>
        </w:rPr>
      </w:pPr>
      <w:r w:rsidRPr="00622D8C">
        <w:rPr>
          <w:rStyle w:val="FootnoteReference"/>
          <w:szCs w:val="20"/>
        </w:rPr>
        <w:footnoteRef/>
      </w:r>
      <w:r w:rsidRPr="00622D8C">
        <w:rPr>
          <w:szCs w:val="20"/>
        </w:rPr>
        <w:t xml:space="preserve"> Regulation 6(1) of LN 288/2015.</w:t>
      </w:r>
    </w:p>
  </w:footnote>
  <w:footnote w:id="34">
    <w:p w14:paraId="1E700B58" w14:textId="77777777" w:rsidR="00245004" w:rsidRPr="00B72CEE" w:rsidRDefault="00245004" w:rsidP="0013456F">
      <w:pPr>
        <w:pStyle w:val="FootnoteText"/>
        <w:rPr>
          <w:szCs w:val="20"/>
          <w:lang w:val="en-US"/>
        </w:rPr>
      </w:pPr>
      <w:r w:rsidRPr="00422901">
        <w:rPr>
          <w:rStyle w:val="FootnoteReference"/>
          <w:szCs w:val="20"/>
        </w:rPr>
        <w:footnoteRef/>
      </w:r>
      <w:r w:rsidRPr="00422901">
        <w:rPr>
          <w:szCs w:val="20"/>
        </w:rPr>
        <w:t xml:space="preserve"> Subsidiary Legislation 217.04, Immigration Regulations, 1 May 2004, Legal Notice 205 of 2004 as amended by Legal Notices 307 and 426 of 2012: </w:t>
      </w:r>
      <w:hyperlink r:id="rId12" w:history="1">
        <w:r w:rsidRPr="00B72CEE">
          <w:rPr>
            <w:rStyle w:val="Hyperlink"/>
            <w:szCs w:val="20"/>
          </w:rPr>
          <w:t>http://www.justiceservices.gov.mt/DownloadDocument.aspx?app=lom&amp;itemid=9559&amp;l=1</w:t>
        </w:r>
      </w:hyperlink>
      <w:r w:rsidRPr="00B72CEE">
        <w:rPr>
          <w:szCs w:val="20"/>
        </w:rPr>
        <w:t xml:space="preserve">. </w:t>
      </w:r>
    </w:p>
  </w:footnote>
  <w:footnote w:id="35">
    <w:p w14:paraId="1698B908" w14:textId="77777777" w:rsidR="00245004" w:rsidRPr="00B72CEE" w:rsidRDefault="00245004" w:rsidP="006D595F">
      <w:pPr>
        <w:pStyle w:val="FootnoteText"/>
        <w:rPr>
          <w:szCs w:val="20"/>
          <w:lang w:val="en-US"/>
        </w:rPr>
      </w:pPr>
      <w:r w:rsidRPr="00B72CEE">
        <w:rPr>
          <w:rStyle w:val="FootnoteReference"/>
          <w:szCs w:val="20"/>
        </w:rPr>
        <w:footnoteRef/>
      </w:r>
      <w:r w:rsidRPr="00B72CEE">
        <w:rPr>
          <w:szCs w:val="20"/>
        </w:rPr>
        <w:t xml:space="preserve"> Malta: Staff Concluding Statement of the 2017 Article IV Mission, International Monetary Fund, 17 November 2017: </w:t>
      </w:r>
      <w:hyperlink r:id="rId13" w:history="1">
        <w:r w:rsidRPr="00B72CEE">
          <w:rPr>
            <w:rStyle w:val="Hyperlink"/>
            <w:szCs w:val="20"/>
          </w:rPr>
          <w:t>http://www.imf.org/en/News/Articles/2017/11/17/ms111717-malta-staff-concluding-statement-of-the-2017-article-iv-mission</w:t>
        </w:r>
      </w:hyperlink>
      <w:r w:rsidRPr="00B72CEE">
        <w:rPr>
          <w:szCs w:val="20"/>
        </w:rPr>
        <w:t xml:space="preserve"> </w:t>
      </w:r>
    </w:p>
  </w:footnote>
  <w:footnote w:id="36">
    <w:p w14:paraId="5D021BCA" w14:textId="77777777" w:rsidR="00245004" w:rsidRPr="009A3FFF" w:rsidRDefault="00245004" w:rsidP="002661B3">
      <w:pPr>
        <w:pStyle w:val="FootnoteText"/>
        <w:rPr>
          <w:lang w:val="en-US"/>
        </w:rPr>
      </w:pPr>
      <w:r>
        <w:rPr>
          <w:rStyle w:val="FootnoteReference"/>
        </w:rPr>
        <w:footnoteRef/>
      </w:r>
      <w:r>
        <w:t xml:space="preserve"> </w:t>
      </w:r>
      <w:r w:rsidRPr="004257C3">
        <w:t>Regulation 13(1) and (2) of LN 47/2014.</w:t>
      </w:r>
    </w:p>
  </w:footnote>
  <w:footnote w:id="37">
    <w:p w14:paraId="116246B2" w14:textId="3A2E7BA4" w:rsidR="00245004" w:rsidRPr="00B72CEE" w:rsidRDefault="00245004" w:rsidP="00E25560">
      <w:pPr>
        <w:pStyle w:val="FootnoteText"/>
        <w:rPr>
          <w:szCs w:val="20"/>
        </w:rPr>
      </w:pPr>
      <w:r w:rsidRPr="00B72CEE">
        <w:rPr>
          <w:rStyle w:val="FootnoteReference"/>
          <w:szCs w:val="20"/>
        </w:rPr>
        <w:footnoteRef/>
      </w:r>
      <w:r w:rsidRPr="00B72CEE">
        <w:rPr>
          <w:szCs w:val="20"/>
        </w:rPr>
        <w:t xml:space="preserve"> Information obtained through stakeholder consultation with MRVA representative on 7 March 2018.</w:t>
      </w:r>
    </w:p>
  </w:footnote>
  <w:footnote w:id="38">
    <w:p w14:paraId="7BFF2BB7" w14:textId="4BFE0618" w:rsidR="00245004" w:rsidRPr="00B72CEE" w:rsidRDefault="00245004" w:rsidP="002923D5">
      <w:pPr>
        <w:pStyle w:val="FootnoteText"/>
        <w:rPr>
          <w:szCs w:val="20"/>
          <w:lang w:val="en-US"/>
        </w:rPr>
      </w:pPr>
      <w:r w:rsidRPr="00B72CEE">
        <w:rPr>
          <w:rStyle w:val="FootnoteReference"/>
          <w:szCs w:val="20"/>
        </w:rPr>
        <w:footnoteRef/>
      </w:r>
      <w:r w:rsidRPr="00B72CEE">
        <w:rPr>
          <w:szCs w:val="20"/>
        </w:rPr>
        <w:t xml:space="preserve"> </w:t>
      </w:r>
      <w:proofErr w:type="spellStart"/>
      <w:r w:rsidRPr="00B72CEE">
        <w:rPr>
          <w:szCs w:val="20"/>
        </w:rPr>
        <w:t>ORiip</w:t>
      </w:r>
      <w:proofErr w:type="spellEnd"/>
      <w:r w:rsidRPr="00B72CEE">
        <w:rPr>
          <w:szCs w:val="20"/>
        </w:rPr>
        <w:t>, Fourth Annual Report (1 July 2016 – 30 June 2017), pp. 15-16.</w:t>
      </w:r>
    </w:p>
  </w:footnote>
  <w:footnote w:id="39">
    <w:p w14:paraId="26554056" w14:textId="77777777" w:rsidR="00245004" w:rsidRPr="00B72CEE" w:rsidRDefault="00245004" w:rsidP="002923D5">
      <w:pPr>
        <w:pStyle w:val="FootnoteText"/>
        <w:rPr>
          <w:szCs w:val="20"/>
        </w:rPr>
      </w:pPr>
      <w:r w:rsidRPr="00B72CEE">
        <w:rPr>
          <w:rStyle w:val="FootnoteReference"/>
          <w:szCs w:val="20"/>
        </w:rPr>
        <w:footnoteRef/>
      </w:r>
      <w:r w:rsidRPr="00B72CEE">
        <w:rPr>
          <w:szCs w:val="20"/>
        </w:rPr>
        <w:t xml:space="preserve"> Information obtained through stakeholder consultation with MRVA representative on 7 March 2018.</w:t>
      </w:r>
    </w:p>
  </w:footnote>
  <w:footnote w:id="40">
    <w:p w14:paraId="6910EECC" w14:textId="77777777" w:rsidR="00245004" w:rsidRPr="00B72CEE" w:rsidRDefault="00245004" w:rsidP="00BB1743">
      <w:pPr>
        <w:pStyle w:val="FootnoteText"/>
        <w:rPr>
          <w:szCs w:val="20"/>
          <w:lang w:val="en-US"/>
        </w:rPr>
      </w:pPr>
      <w:r w:rsidRPr="00B72CEE">
        <w:rPr>
          <w:rStyle w:val="FootnoteReference"/>
          <w:szCs w:val="20"/>
        </w:rPr>
        <w:footnoteRef/>
      </w:r>
      <w:r w:rsidRPr="00B72CEE">
        <w:rPr>
          <w:szCs w:val="20"/>
        </w:rPr>
        <w:t xml:space="preserve"> Information obtained through stakeholder consultation with MRVA representative on 7 March 2018.</w:t>
      </w:r>
    </w:p>
  </w:footnote>
  <w:footnote w:id="41">
    <w:p w14:paraId="30D36855" w14:textId="5DEBBFFC" w:rsidR="00245004" w:rsidRDefault="00245004">
      <w:pPr>
        <w:pStyle w:val="FootnoteText"/>
      </w:pPr>
      <w:r>
        <w:rPr>
          <w:rStyle w:val="FootnoteReference"/>
        </w:rPr>
        <w:footnoteRef/>
      </w:r>
      <w:r>
        <w:t xml:space="preserve"> </w:t>
      </w:r>
      <w:r w:rsidRPr="00A35294">
        <w:t>Regulation 4 of LN 47/2014</w:t>
      </w:r>
      <w:r>
        <w:t>.</w:t>
      </w:r>
    </w:p>
  </w:footnote>
  <w:footnote w:id="42">
    <w:p w14:paraId="67719BD7" w14:textId="54E9AF28" w:rsidR="00245004" w:rsidRPr="00B72CEE" w:rsidRDefault="00245004" w:rsidP="00225920">
      <w:pPr>
        <w:pStyle w:val="FootnoteText"/>
        <w:jc w:val="left"/>
        <w:rPr>
          <w:szCs w:val="20"/>
        </w:rPr>
      </w:pPr>
      <w:r w:rsidRPr="00B72CEE">
        <w:rPr>
          <w:rStyle w:val="FootnoteReference"/>
          <w:szCs w:val="20"/>
        </w:rPr>
        <w:footnoteRef/>
      </w:r>
      <w:r w:rsidRPr="00B72CEE">
        <w:rPr>
          <w:szCs w:val="20"/>
        </w:rPr>
        <w:t xml:space="preserve"> </w:t>
      </w:r>
      <w:r w:rsidRPr="00B72CEE">
        <w:rPr>
          <w:szCs w:val="20"/>
          <w:lang w:val="en-US"/>
        </w:rPr>
        <w:t xml:space="preserve">Statistics obtained from </w:t>
      </w:r>
      <w:proofErr w:type="spellStart"/>
      <w:r w:rsidRPr="00B72CEE">
        <w:rPr>
          <w:szCs w:val="20"/>
          <w:lang w:val="en-US"/>
        </w:rPr>
        <w:t>ORiiP</w:t>
      </w:r>
      <w:proofErr w:type="spellEnd"/>
      <w:r w:rsidRPr="00B72CEE">
        <w:rPr>
          <w:szCs w:val="20"/>
          <w:lang w:val="en-US"/>
        </w:rPr>
        <w:t xml:space="preserve"> annual reports.</w:t>
      </w:r>
      <w:r w:rsidRPr="00B72CEE">
        <w:rPr>
          <w:szCs w:val="20"/>
        </w:rPr>
        <w:t xml:space="preserve"> </w:t>
      </w:r>
    </w:p>
  </w:footnote>
  <w:footnote w:id="43">
    <w:p w14:paraId="099A1895" w14:textId="77777777" w:rsidR="00245004" w:rsidRPr="00B72CEE" w:rsidRDefault="00245004" w:rsidP="00BB1743">
      <w:pPr>
        <w:pStyle w:val="FootnoteText"/>
        <w:rPr>
          <w:szCs w:val="20"/>
        </w:rPr>
      </w:pPr>
      <w:r w:rsidRPr="00B72CEE">
        <w:rPr>
          <w:rStyle w:val="FootnoteReference"/>
          <w:szCs w:val="20"/>
        </w:rPr>
        <w:footnoteRef/>
      </w:r>
      <w:r w:rsidRPr="00B72CEE">
        <w:rPr>
          <w:szCs w:val="20"/>
        </w:rPr>
        <w:t xml:space="preserve"> </w:t>
      </w:r>
      <w:r w:rsidRPr="00B72CEE">
        <w:rPr>
          <w:szCs w:val="20"/>
          <w:lang w:val="en-US"/>
        </w:rPr>
        <w:t>Information obtained through stakeholder consultation with Identity Malta representatives on 8 March 2018.</w:t>
      </w:r>
    </w:p>
  </w:footnote>
  <w:footnote w:id="44">
    <w:p w14:paraId="5910D722" w14:textId="2DB0BD57" w:rsidR="00245004" w:rsidRPr="00B72CEE" w:rsidRDefault="00245004" w:rsidP="00426ECB">
      <w:pPr>
        <w:pStyle w:val="FootnoteText"/>
        <w:rPr>
          <w:szCs w:val="20"/>
        </w:rPr>
      </w:pPr>
      <w:r w:rsidRPr="00B72CEE">
        <w:rPr>
          <w:rStyle w:val="FootnoteReference"/>
          <w:szCs w:val="20"/>
        </w:rPr>
        <w:footnoteRef/>
      </w:r>
      <w:r w:rsidRPr="00B72CEE">
        <w:rPr>
          <w:szCs w:val="20"/>
        </w:rPr>
        <w:t xml:space="preserve"> Statistics obtained through stakeholder consultation with MRVA representative on 7 March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22741"/>
    <w:multiLevelType w:val="multilevel"/>
    <w:tmpl w:val="9C94776A"/>
    <w:lvl w:ilvl="0">
      <w:start w:val="1"/>
      <w:numFmt w:val="bullet"/>
      <w:pStyle w:val="MMultilevel"/>
      <w:lvlText w:val=""/>
      <w:lvlJc w:val="left"/>
      <w:pPr>
        <w:ind w:left="425" w:hanging="425"/>
      </w:pPr>
      <w:rPr>
        <w:rFonts w:ascii="Wingdings" w:hAnsi="Wingdings" w:hint="default"/>
        <w:caps w:val="0"/>
        <w:strike w:val="0"/>
        <w:dstrike w:val="0"/>
        <w:vanish w:val="0"/>
        <w:color w:val="4472C4" w:themeColor="accent1"/>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7AB8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491037E"/>
    <w:multiLevelType w:val="hybridMultilevel"/>
    <w:tmpl w:val="4DDEC188"/>
    <w:lvl w:ilvl="0" w:tplc="8FBEED3C">
      <w:start w:val="1"/>
      <w:numFmt w:val="bullet"/>
      <w:lvlText w:val=""/>
      <w:lvlJc w:val="left"/>
      <w:pPr>
        <w:ind w:left="720" w:hanging="360"/>
      </w:pPr>
      <w:rPr>
        <w:rFonts w:ascii="Wingdings" w:hAnsi="Wingdings" w:hint="default"/>
        <w:b w:val="0"/>
        <w:i w:val="0"/>
        <w:color w:val="4F81BD"/>
        <w:sz w:val="16"/>
        <w:u w:color="000080"/>
      </w:rPr>
    </w:lvl>
    <w:lvl w:ilvl="1" w:tplc="14DC89E0">
      <w:start w:val="1"/>
      <w:numFmt w:val="bullet"/>
      <w:lvlText w:val="o"/>
      <w:lvlJc w:val="left"/>
      <w:pPr>
        <w:ind w:left="1440" w:hanging="360"/>
      </w:pPr>
      <w:rPr>
        <w:rFonts w:ascii="Courier New" w:hAnsi="Courier New" w:cs="Courier New" w:hint="default"/>
        <w:lang w:val="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CA1252"/>
    <w:multiLevelType w:val="multilevel"/>
    <w:tmpl w:val="D5D6F558"/>
    <w:lvl w:ilvl="0">
      <w:start w:val="1"/>
      <w:numFmt w:val="bullet"/>
      <w:lvlText w:val="-"/>
      <w:lvlJc w:val="left"/>
      <w:pPr>
        <w:ind w:left="425" w:hanging="425"/>
      </w:pPr>
      <w:rPr>
        <w:rFonts w:ascii="Times New Roman" w:eastAsia="Times New Roman" w:hAnsi="Times New Roman" w:cs="Times New Roman" w:hint="default"/>
        <w:caps w:val="0"/>
        <w:strike w:val="0"/>
        <w:dstrike w:val="0"/>
        <w:vanish w:val="0"/>
        <w:color w:val="FF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FF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93AB7"/>
    <w:rsid w:val="0003415D"/>
    <w:rsid w:val="00063BF8"/>
    <w:rsid w:val="000A7EFA"/>
    <w:rsid w:val="000A7FD5"/>
    <w:rsid w:val="000B142E"/>
    <w:rsid w:val="000B4B50"/>
    <w:rsid w:val="000B57A9"/>
    <w:rsid w:val="000C77BC"/>
    <w:rsid w:val="000E3E2E"/>
    <w:rsid w:val="00100CAB"/>
    <w:rsid w:val="0012159C"/>
    <w:rsid w:val="0013456F"/>
    <w:rsid w:val="00152AEB"/>
    <w:rsid w:val="001932BF"/>
    <w:rsid w:val="001A1C12"/>
    <w:rsid w:val="001B479D"/>
    <w:rsid w:val="001C0B4D"/>
    <w:rsid w:val="001C0C64"/>
    <w:rsid w:val="001C1718"/>
    <w:rsid w:val="001D192F"/>
    <w:rsid w:val="001E1E54"/>
    <w:rsid w:val="00207E5D"/>
    <w:rsid w:val="00225920"/>
    <w:rsid w:val="0024467B"/>
    <w:rsid w:val="00245004"/>
    <w:rsid w:val="002523F2"/>
    <w:rsid w:val="0025572E"/>
    <w:rsid w:val="0026104A"/>
    <w:rsid w:val="002661B3"/>
    <w:rsid w:val="0027324A"/>
    <w:rsid w:val="00276A6F"/>
    <w:rsid w:val="002923D5"/>
    <w:rsid w:val="002B6498"/>
    <w:rsid w:val="002C78D1"/>
    <w:rsid w:val="002E4F87"/>
    <w:rsid w:val="002F0FDC"/>
    <w:rsid w:val="002F3795"/>
    <w:rsid w:val="002F46E4"/>
    <w:rsid w:val="002F6D05"/>
    <w:rsid w:val="003206BD"/>
    <w:rsid w:val="00322582"/>
    <w:rsid w:val="00325671"/>
    <w:rsid w:val="003264D8"/>
    <w:rsid w:val="003332E3"/>
    <w:rsid w:val="00352BFD"/>
    <w:rsid w:val="003652D9"/>
    <w:rsid w:val="003672A0"/>
    <w:rsid w:val="00387A89"/>
    <w:rsid w:val="00396CA4"/>
    <w:rsid w:val="003A70D3"/>
    <w:rsid w:val="003A7CB5"/>
    <w:rsid w:val="003B49F1"/>
    <w:rsid w:val="003C2955"/>
    <w:rsid w:val="003C3308"/>
    <w:rsid w:val="003C4F92"/>
    <w:rsid w:val="003C5A25"/>
    <w:rsid w:val="003E43D5"/>
    <w:rsid w:val="003F7F29"/>
    <w:rsid w:val="00403A6E"/>
    <w:rsid w:val="00404A85"/>
    <w:rsid w:val="00422901"/>
    <w:rsid w:val="004247C2"/>
    <w:rsid w:val="00426ECB"/>
    <w:rsid w:val="00440E1A"/>
    <w:rsid w:val="00444AF5"/>
    <w:rsid w:val="0046726C"/>
    <w:rsid w:val="00472C3F"/>
    <w:rsid w:val="0047595A"/>
    <w:rsid w:val="00476701"/>
    <w:rsid w:val="00482B6C"/>
    <w:rsid w:val="00482E0A"/>
    <w:rsid w:val="00483A31"/>
    <w:rsid w:val="004A4970"/>
    <w:rsid w:val="004B6BB3"/>
    <w:rsid w:val="004C5A54"/>
    <w:rsid w:val="00501549"/>
    <w:rsid w:val="00505518"/>
    <w:rsid w:val="0051729A"/>
    <w:rsid w:val="00524370"/>
    <w:rsid w:val="00525542"/>
    <w:rsid w:val="00532FA8"/>
    <w:rsid w:val="00540DC6"/>
    <w:rsid w:val="00543C79"/>
    <w:rsid w:val="00580882"/>
    <w:rsid w:val="005828D9"/>
    <w:rsid w:val="005941C3"/>
    <w:rsid w:val="005C106D"/>
    <w:rsid w:val="005C2D40"/>
    <w:rsid w:val="005C5EA9"/>
    <w:rsid w:val="005D3D61"/>
    <w:rsid w:val="006173B2"/>
    <w:rsid w:val="00622D8C"/>
    <w:rsid w:val="00623A01"/>
    <w:rsid w:val="006249BF"/>
    <w:rsid w:val="00631F23"/>
    <w:rsid w:val="006326E9"/>
    <w:rsid w:val="00655D7F"/>
    <w:rsid w:val="0066033A"/>
    <w:rsid w:val="0067102C"/>
    <w:rsid w:val="00671591"/>
    <w:rsid w:val="00681C3F"/>
    <w:rsid w:val="00686B0D"/>
    <w:rsid w:val="00693AB7"/>
    <w:rsid w:val="006D595F"/>
    <w:rsid w:val="006F6AE1"/>
    <w:rsid w:val="00701FD5"/>
    <w:rsid w:val="00716EC9"/>
    <w:rsid w:val="00732ED3"/>
    <w:rsid w:val="007418C6"/>
    <w:rsid w:val="00751ED2"/>
    <w:rsid w:val="00761800"/>
    <w:rsid w:val="0077214E"/>
    <w:rsid w:val="0077455F"/>
    <w:rsid w:val="0079131C"/>
    <w:rsid w:val="00791E43"/>
    <w:rsid w:val="007A7997"/>
    <w:rsid w:val="007D178C"/>
    <w:rsid w:val="007D2755"/>
    <w:rsid w:val="007D772C"/>
    <w:rsid w:val="007E08B1"/>
    <w:rsid w:val="007E44F4"/>
    <w:rsid w:val="007E5B29"/>
    <w:rsid w:val="007E7D6E"/>
    <w:rsid w:val="007F0A4C"/>
    <w:rsid w:val="007F4355"/>
    <w:rsid w:val="00821F49"/>
    <w:rsid w:val="00822C77"/>
    <w:rsid w:val="00827BCA"/>
    <w:rsid w:val="00843E98"/>
    <w:rsid w:val="00863CD0"/>
    <w:rsid w:val="008700CC"/>
    <w:rsid w:val="00881767"/>
    <w:rsid w:val="00896583"/>
    <w:rsid w:val="008968A4"/>
    <w:rsid w:val="00896F9F"/>
    <w:rsid w:val="008C3A0A"/>
    <w:rsid w:val="008F2CEC"/>
    <w:rsid w:val="008F5A88"/>
    <w:rsid w:val="008F7BBE"/>
    <w:rsid w:val="00905D8F"/>
    <w:rsid w:val="009072A3"/>
    <w:rsid w:val="00911AE8"/>
    <w:rsid w:val="00917A3E"/>
    <w:rsid w:val="009321CF"/>
    <w:rsid w:val="00934DFC"/>
    <w:rsid w:val="00942837"/>
    <w:rsid w:val="00961BF8"/>
    <w:rsid w:val="00964C5C"/>
    <w:rsid w:val="00965374"/>
    <w:rsid w:val="009679DA"/>
    <w:rsid w:val="00972436"/>
    <w:rsid w:val="00980561"/>
    <w:rsid w:val="009870D4"/>
    <w:rsid w:val="009A0292"/>
    <w:rsid w:val="009B1E55"/>
    <w:rsid w:val="009D35DC"/>
    <w:rsid w:val="009E0CAD"/>
    <w:rsid w:val="00A00280"/>
    <w:rsid w:val="00A17339"/>
    <w:rsid w:val="00A2505B"/>
    <w:rsid w:val="00A32483"/>
    <w:rsid w:val="00A36DA5"/>
    <w:rsid w:val="00A7053B"/>
    <w:rsid w:val="00A70BE0"/>
    <w:rsid w:val="00A80C45"/>
    <w:rsid w:val="00A8542B"/>
    <w:rsid w:val="00AB5090"/>
    <w:rsid w:val="00AB6836"/>
    <w:rsid w:val="00AB748B"/>
    <w:rsid w:val="00AC41D2"/>
    <w:rsid w:val="00AC430A"/>
    <w:rsid w:val="00AC7DB1"/>
    <w:rsid w:val="00AE52A3"/>
    <w:rsid w:val="00AF7C8A"/>
    <w:rsid w:val="00B44EE3"/>
    <w:rsid w:val="00B62004"/>
    <w:rsid w:val="00B65B45"/>
    <w:rsid w:val="00B71084"/>
    <w:rsid w:val="00B72CEE"/>
    <w:rsid w:val="00B730EB"/>
    <w:rsid w:val="00B730EF"/>
    <w:rsid w:val="00B83867"/>
    <w:rsid w:val="00BA7BCB"/>
    <w:rsid w:val="00BB1743"/>
    <w:rsid w:val="00BE2A15"/>
    <w:rsid w:val="00BF37A5"/>
    <w:rsid w:val="00C05B60"/>
    <w:rsid w:val="00C07394"/>
    <w:rsid w:val="00C13017"/>
    <w:rsid w:val="00C15D7C"/>
    <w:rsid w:val="00C17BD6"/>
    <w:rsid w:val="00C33A6D"/>
    <w:rsid w:val="00C4061F"/>
    <w:rsid w:val="00C41217"/>
    <w:rsid w:val="00C47FEC"/>
    <w:rsid w:val="00C51AD4"/>
    <w:rsid w:val="00C5750B"/>
    <w:rsid w:val="00C9475A"/>
    <w:rsid w:val="00CA5E1D"/>
    <w:rsid w:val="00CB32C2"/>
    <w:rsid w:val="00CE5521"/>
    <w:rsid w:val="00CE6C8A"/>
    <w:rsid w:val="00D01EF8"/>
    <w:rsid w:val="00D076C3"/>
    <w:rsid w:val="00D11455"/>
    <w:rsid w:val="00D1312C"/>
    <w:rsid w:val="00D15969"/>
    <w:rsid w:val="00D30105"/>
    <w:rsid w:val="00D31B8C"/>
    <w:rsid w:val="00D45FA3"/>
    <w:rsid w:val="00D53C1F"/>
    <w:rsid w:val="00D663C1"/>
    <w:rsid w:val="00D7392C"/>
    <w:rsid w:val="00D87C77"/>
    <w:rsid w:val="00D935DD"/>
    <w:rsid w:val="00DA0544"/>
    <w:rsid w:val="00DB56BF"/>
    <w:rsid w:val="00DE3DE6"/>
    <w:rsid w:val="00DE4E0A"/>
    <w:rsid w:val="00DF03EA"/>
    <w:rsid w:val="00E0764B"/>
    <w:rsid w:val="00E25560"/>
    <w:rsid w:val="00E56548"/>
    <w:rsid w:val="00E63954"/>
    <w:rsid w:val="00E66362"/>
    <w:rsid w:val="00E66846"/>
    <w:rsid w:val="00E7713E"/>
    <w:rsid w:val="00E842B7"/>
    <w:rsid w:val="00E85FDD"/>
    <w:rsid w:val="00EA4022"/>
    <w:rsid w:val="00EC367D"/>
    <w:rsid w:val="00EC3944"/>
    <w:rsid w:val="00ED2FC0"/>
    <w:rsid w:val="00EE7EB1"/>
    <w:rsid w:val="00F04775"/>
    <w:rsid w:val="00F04EC1"/>
    <w:rsid w:val="00F0615C"/>
    <w:rsid w:val="00F2241B"/>
    <w:rsid w:val="00F23860"/>
    <w:rsid w:val="00F6391C"/>
    <w:rsid w:val="00F7673C"/>
    <w:rsid w:val="00F85D8F"/>
    <w:rsid w:val="00F86A71"/>
    <w:rsid w:val="00FA5D0B"/>
    <w:rsid w:val="00FB1DAE"/>
    <w:rsid w:val="00FD580A"/>
    <w:rsid w:val="00FD611C"/>
    <w:rsid w:val="00FE0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FBC072"/>
  <w15:docId w15:val="{256604CD-C133-F447-8FD6-A23C91CD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H1nonumb">
    <w:name w:val="M H 1 no numb"/>
    <w:basedOn w:val="Normal"/>
    <w:next w:val="Normal"/>
    <w:link w:val="MH1nonumbChar"/>
    <w:qFormat/>
    <w:rsid w:val="00693AB7"/>
    <w:pPr>
      <w:keepNext/>
      <w:pageBreakBefore/>
      <w:spacing w:after="480"/>
      <w:jc w:val="both"/>
      <w:outlineLvl w:val="0"/>
    </w:pPr>
    <w:rPr>
      <w:rFonts w:ascii="Century Gothic" w:eastAsia="Times New Roman" w:hAnsi="Century Gothic" w:cs="Times New Roman"/>
      <w:b/>
      <w:caps/>
      <w:lang w:val="en-GB" w:eastAsia="fr-FR"/>
    </w:rPr>
  </w:style>
  <w:style w:type="character" w:customStyle="1" w:styleId="MH1nonumbChar">
    <w:name w:val="M H 1 no numb Char"/>
    <w:link w:val="MH1nonumb"/>
    <w:rsid w:val="00693AB7"/>
    <w:rPr>
      <w:rFonts w:ascii="Century Gothic" w:eastAsia="Times New Roman" w:hAnsi="Century Gothic" w:cs="Times New Roman"/>
      <w:b/>
      <w:caps/>
      <w:lang w:val="en-GB" w:eastAsia="fr-FR"/>
    </w:rPr>
  </w:style>
  <w:style w:type="paragraph" w:customStyle="1" w:styleId="MMultilevel">
    <w:name w:val="M Multilevel"/>
    <w:basedOn w:val="Normal"/>
    <w:link w:val="MMultilevelChar"/>
    <w:qFormat/>
    <w:rsid w:val="00693AB7"/>
    <w:pPr>
      <w:widowControl w:val="0"/>
      <w:numPr>
        <w:numId w:val="1"/>
      </w:numPr>
      <w:jc w:val="both"/>
    </w:pPr>
    <w:rPr>
      <w:rFonts w:ascii="Times New Roman" w:eastAsia="Times New Roman" w:hAnsi="Times New Roman" w:cs="Times New Roman"/>
      <w:bCs/>
      <w:sz w:val="22"/>
      <w:szCs w:val="22"/>
      <w:lang w:eastAsia="fr-FR"/>
    </w:rPr>
  </w:style>
  <w:style w:type="character" w:customStyle="1" w:styleId="MMultilevelChar">
    <w:name w:val="M Multilevel Char"/>
    <w:link w:val="MMultilevel"/>
    <w:rsid w:val="00693AB7"/>
    <w:rPr>
      <w:rFonts w:ascii="Times New Roman" w:eastAsia="Times New Roman" w:hAnsi="Times New Roman" w:cs="Times New Roman"/>
      <w:bCs/>
      <w:sz w:val="22"/>
      <w:szCs w:val="22"/>
      <w:lang w:eastAsia="fr-FR"/>
    </w:rPr>
  </w:style>
  <w:style w:type="character" w:styleId="FootnoteReference">
    <w:name w:val="footnote reference"/>
    <w:aliases w:val="Footnote Refernece,BVI fnr,callout,16 Point,Superscript 6 Point,Odwołanie przypisu,Footnote symbol,Footnote Reference Number,Footnote Reference Superscript,SUPERS,Times 10 Point,Exposant 3 Point,Ref,de nota al pie,number, BVI fnr,FR,F"/>
    <w:uiPriority w:val="99"/>
    <w:qFormat/>
    <w:rsid w:val="00693AB7"/>
    <w:rPr>
      <w:vertAlign w:val="superscript"/>
    </w:rPr>
  </w:style>
  <w:style w:type="paragraph" w:styleId="FootnoteText">
    <w:name w:val="footnote text"/>
    <w:aliases w:val="M Footnotes"/>
    <w:basedOn w:val="Normal"/>
    <w:link w:val="FootnoteTextChar"/>
    <w:uiPriority w:val="99"/>
    <w:qFormat/>
    <w:rsid w:val="00693AB7"/>
    <w:pPr>
      <w:jc w:val="both"/>
    </w:pPr>
    <w:rPr>
      <w:rFonts w:ascii="Times New Roman" w:eastAsia="Times New Roman" w:hAnsi="Times New Roman" w:cs="Times New Roman"/>
      <w:sz w:val="18"/>
      <w:szCs w:val="22"/>
      <w:lang w:val="en-GB" w:eastAsia="fr-FR"/>
    </w:rPr>
  </w:style>
  <w:style w:type="character" w:customStyle="1" w:styleId="FootnoteTextChar">
    <w:name w:val="Footnote Text Char"/>
    <w:aliases w:val="M Footnotes Char"/>
    <w:basedOn w:val="DefaultParagraphFont"/>
    <w:link w:val="FootnoteText"/>
    <w:uiPriority w:val="99"/>
    <w:rsid w:val="00693AB7"/>
    <w:rPr>
      <w:rFonts w:ascii="Times New Roman" w:eastAsia="Times New Roman" w:hAnsi="Times New Roman" w:cs="Times New Roman"/>
      <w:sz w:val="18"/>
      <w:szCs w:val="22"/>
      <w:lang w:val="en-GB" w:eastAsia="fr-FR"/>
    </w:rPr>
  </w:style>
  <w:style w:type="character" w:styleId="Hyperlink">
    <w:name w:val="Hyperlink"/>
    <w:uiPriority w:val="99"/>
    <w:rsid w:val="00693AB7"/>
    <w:rPr>
      <w:color w:val="0000FF"/>
      <w:u w:val="single"/>
    </w:rPr>
  </w:style>
  <w:style w:type="paragraph" w:customStyle="1" w:styleId="MBT">
    <w:name w:val="M BT"/>
    <w:basedOn w:val="Normal"/>
    <w:link w:val="MBTChar"/>
    <w:qFormat/>
    <w:rsid w:val="004247C2"/>
    <w:pPr>
      <w:widowControl w:val="0"/>
      <w:jc w:val="both"/>
    </w:pPr>
    <w:rPr>
      <w:rFonts w:ascii="Times New Roman" w:eastAsia="Times New Roman" w:hAnsi="Times New Roman" w:cs="Times New Roman"/>
      <w:bCs/>
      <w:sz w:val="22"/>
      <w:szCs w:val="22"/>
      <w:lang w:eastAsia="fr-FR"/>
    </w:rPr>
  </w:style>
  <w:style w:type="character" w:customStyle="1" w:styleId="MBTChar">
    <w:name w:val="M BT Char"/>
    <w:link w:val="MBT"/>
    <w:rsid w:val="004247C2"/>
    <w:rPr>
      <w:rFonts w:ascii="Times New Roman" w:eastAsia="Times New Roman" w:hAnsi="Times New Roman" w:cs="Times New Roman"/>
      <w:bCs/>
      <w:sz w:val="22"/>
      <w:szCs w:val="22"/>
      <w:lang w:eastAsia="fr-FR"/>
    </w:rPr>
  </w:style>
  <w:style w:type="character" w:styleId="CommentReference">
    <w:name w:val="annotation reference"/>
    <w:basedOn w:val="DefaultParagraphFont"/>
    <w:uiPriority w:val="99"/>
    <w:semiHidden/>
    <w:unhideWhenUsed/>
    <w:rsid w:val="00276A6F"/>
    <w:rPr>
      <w:sz w:val="16"/>
      <w:szCs w:val="16"/>
    </w:rPr>
  </w:style>
  <w:style w:type="paragraph" w:styleId="CommentText">
    <w:name w:val="annotation text"/>
    <w:basedOn w:val="Normal"/>
    <w:link w:val="CommentTextChar"/>
    <w:uiPriority w:val="99"/>
    <w:semiHidden/>
    <w:unhideWhenUsed/>
    <w:rsid w:val="00276A6F"/>
    <w:rPr>
      <w:sz w:val="20"/>
      <w:szCs w:val="20"/>
    </w:rPr>
  </w:style>
  <w:style w:type="character" w:customStyle="1" w:styleId="CommentTextChar">
    <w:name w:val="Comment Text Char"/>
    <w:basedOn w:val="DefaultParagraphFont"/>
    <w:link w:val="CommentText"/>
    <w:uiPriority w:val="99"/>
    <w:semiHidden/>
    <w:rsid w:val="00276A6F"/>
    <w:rPr>
      <w:sz w:val="20"/>
      <w:szCs w:val="20"/>
    </w:rPr>
  </w:style>
  <w:style w:type="paragraph" w:styleId="CommentSubject">
    <w:name w:val="annotation subject"/>
    <w:basedOn w:val="CommentText"/>
    <w:next w:val="CommentText"/>
    <w:link w:val="CommentSubjectChar"/>
    <w:uiPriority w:val="99"/>
    <w:semiHidden/>
    <w:unhideWhenUsed/>
    <w:rsid w:val="00276A6F"/>
    <w:rPr>
      <w:b/>
      <w:bCs/>
    </w:rPr>
  </w:style>
  <w:style w:type="character" w:customStyle="1" w:styleId="CommentSubjectChar">
    <w:name w:val="Comment Subject Char"/>
    <w:basedOn w:val="CommentTextChar"/>
    <w:link w:val="CommentSubject"/>
    <w:uiPriority w:val="99"/>
    <w:semiHidden/>
    <w:rsid w:val="00276A6F"/>
    <w:rPr>
      <w:b/>
      <w:bCs/>
      <w:sz w:val="20"/>
      <w:szCs w:val="20"/>
    </w:rPr>
  </w:style>
  <w:style w:type="paragraph" w:styleId="BalloonText">
    <w:name w:val="Balloon Text"/>
    <w:basedOn w:val="Normal"/>
    <w:link w:val="BalloonTextChar"/>
    <w:uiPriority w:val="99"/>
    <w:semiHidden/>
    <w:unhideWhenUsed/>
    <w:rsid w:val="00276A6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76A6F"/>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9A0292"/>
    <w:rPr>
      <w:color w:val="954F72" w:themeColor="followedHyperlink"/>
      <w:u w:val="single"/>
    </w:rPr>
  </w:style>
  <w:style w:type="paragraph" w:styleId="Header">
    <w:name w:val="header"/>
    <w:basedOn w:val="Normal"/>
    <w:link w:val="HeaderChar"/>
    <w:uiPriority w:val="99"/>
    <w:rsid w:val="0013456F"/>
    <w:pPr>
      <w:tabs>
        <w:tab w:val="center" w:pos="4153"/>
        <w:tab w:val="right" w:pos="8306"/>
      </w:tabs>
    </w:pPr>
    <w:rPr>
      <w:rFonts w:ascii="Times New Roman" w:eastAsia="Times New Roman" w:hAnsi="Times New Roman" w:cs="Times New Roman"/>
      <w:lang w:val="fr-FR" w:eastAsia="fr-FR"/>
    </w:rPr>
  </w:style>
  <w:style w:type="character" w:customStyle="1" w:styleId="HeaderChar">
    <w:name w:val="Header Char"/>
    <w:basedOn w:val="DefaultParagraphFont"/>
    <w:link w:val="Header"/>
    <w:uiPriority w:val="99"/>
    <w:rsid w:val="0013456F"/>
    <w:rPr>
      <w:rFonts w:ascii="Times New Roman" w:eastAsia="Times New Roman" w:hAnsi="Times New Roman" w:cs="Times New Roman"/>
      <w:lang w:val="fr-FR" w:eastAsia="fr-FR"/>
    </w:rPr>
  </w:style>
  <w:style w:type="character" w:customStyle="1" w:styleId="UnresolvedMention1">
    <w:name w:val="Unresolved Mention1"/>
    <w:basedOn w:val="DefaultParagraphFont"/>
    <w:uiPriority w:val="99"/>
    <w:semiHidden/>
    <w:unhideWhenUsed/>
    <w:rsid w:val="00225920"/>
    <w:rPr>
      <w:color w:val="605E5C"/>
      <w:shd w:val="clear" w:color="auto" w:fill="E1DFDD"/>
    </w:rPr>
  </w:style>
  <w:style w:type="paragraph" w:styleId="Revision">
    <w:name w:val="Revision"/>
    <w:hidden/>
    <w:uiPriority w:val="99"/>
    <w:semiHidden/>
    <w:rsid w:val="00B72CEE"/>
  </w:style>
  <w:style w:type="character" w:customStyle="1" w:styleId="UnresolvedMention2">
    <w:name w:val="Unresolved Mention2"/>
    <w:basedOn w:val="DefaultParagraphFont"/>
    <w:uiPriority w:val="99"/>
    <w:semiHidden/>
    <w:unhideWhenUsed/>
    <w:rsid w:val="008F2CEC"/>
    <w:rPr>
      <w:color w:val="605E5C"/>
      <w:shd w:val="clear" w:color="auto" w:fill="E1DFDD"/>
    </w:rPr>
  </w:style>
  <w:style w:type="paragraph" w:styleId="ListParagraph">
    <w:name w:val="List Paragraph"/>
    <w:aliases w:val="Heading 2_sj,List Paragraph1"/>
    <w:basedOn w:val="Normal"/>
    <w:uiPriority w:val="34"/>
    <w:qFormat/>
    <w:rsid w:val="00A2505B"/>
    <w:pPr>
      <w:ind w:left="720"/>
      <w:contextualSpacing/>
      <w:jc w:val="both"/>
    </w:pPr>
    <w:rPr>
      <w:rFonts w:ascii="Times New Roman" w:eastAsia="Times New Roman" w:hAnsi="Times New Roman" w:cs="Times New Roman"/>
      <w:sz w:val="22"/>
      <w:szCs w:val="20"/>
      <w:lang w:val="en-GB" w:eastAsia="fr-FR"/>
    </w:rPr>
  </w:style>
  <w:style w:type="paragraph" w:styleId="Footer">
    <w:name w:val="footer"/>
    <w:basedOn w:val="Normal"/>
    <w:link w:val="FooterChar"/>
    <w:uiPriority w:val="99"/>
    <w:unhideWhenUsed/>
    <w:rsid w:val="007D178C"/>
    <w:pPr>
      <w:tabs>
        <w:tab w:val="center" w:pos="4680"/>
        <w:tab w:val="right" w:pos="9360"/>
      </w:tabs>
    </w:pPr>
  </w:style>
  <w:style w:type="character" w:customStyle="1" w:styleId="FooterChar">
    <w:name w:val="Footer Char"/>
    <w:basedOn w:val="DefaultParagraphFont"/>
    <w:link w:val="Footer"/>
    <w:uiPriority w:val="99"/>
    <w:rsid w:val="007D178C"/>
  </w:style>
  <w:style w:type="character" w:styleId="PageNumber">
    <w:name w:val="page number"/>
    <w:basedOn w:val="DefaultParagraphFont"/>
    <w:uiPriority w:val="99"/>
    <w:semiHidden/>
    <w:unhideWhenUsed/>
    <w:rsid w:val="007D1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iip.gov.mt/wp-content/uploads/2014/02/MIIP-Checklist-and-Guidelines-V2-1.pdf" TargetMode="External"/><Relationship Id="rId13" Type="http://schemas.openxmlformats.org/officeDocument/2006/relationships/hyperlink" Target="http://www.imf.org/en/News/Articles/2017/11/17/ms111717-malta-staff-concluding-statement-of-the-2017-article-iv-mission" TargetMode="External"/><Relationship Id="rId3" Type="http://schemas.openxmlformats.org/officeDocument/2006/relationships/hyperlink" Target="http://www.justiceservices.gov.mt/DownloadDocument.aspx?app=lom&amp;itemid=12397&amp;l=1" TargetMode="External"/><Relationship Id="rId7" Type="http://schemas.openxmlformats.org/officeDocument/2006/relationships/hyperlink" Target="http://www.justiceservices.gov.mt/DownloadDocument.aspx?app=lom&amp;itemid=12655&amp;l=1" TargetMode="External"/><Relationship Id="rId12" Type="http://schemas.openxmlformats.org/officeDocument/2006/relationships/hyperlink" Target="http://www.justiceservices.gov.mt/DownloadDocument.aspx?app=lom&amp;itemid=9559&amp;l=1" TargetMode="External"/><Relationship Id="rId2" Type="http://schemas.openxmlformats.org/officeDocument/2006/relationships/hyperlink" Target="http://www.justiceservices.gov.mt/DownloadDocument.aspx?app=lom&amp;itemid=8702&amp;l=1" TargetMode="External"/><Relationship Id="rId1" Type="http://schemas.openxmlformats.org/officeDocument/2006/relationships/hyperlink" Target="http://www.justiceservices.gov.mt/DownloadDocument.aspx?app=lom&amp;itemid=12141&amp;l=1" TargetMode="External"/><Relationship Id="rId6" Type="http://schemas.openxmlformats.org/officeDocument/2006/relationships/hyperlink" Target="http://www.justiceservices.gov.mt/DownloadDocument.aspx?app=lom&amp;itemid=12809&amp;l=1" TargetMode="External"/><Relationship Id="rId11" Type="http://schemas.openxmlformats.org/officeDocument/2006/relationships/hyperlink" Target="http://www.justiceservices.gov.mt/DownloadDocument.aspx?app=lom&amp;itemid=8658&amp;l=1" TargetMode="External"/><Relationship Id="rId5" Type="http://schemas.openxmlformats.org/officeDocument/2006/relationships/hyperlink" Target="http://www.justiceservices.gov.mt/DownloadDocument.aspx?app=lom&amp;itemid=12096&amp;l=1" TargetMode="External"/><Relationship Id="rId10" Type="http://schemas.openxmlformats.org/officeDocument/2006/relationships/hyperlink" Target="http://www.justiceservices.gov.mt/DownloadDocument.aspx?app=lom&amp;itemid=12062&amp;l=1" TargetMode="External"/><Relationship Id="rId4" Type="http://schemas.openxmlformats.org/officeDocument/2006/relationships/hyperlink" Target="http://www.justiceservices.gov.mt/DownloadDocument.aspx?app=lom&amp;itemid=8722&amp;l=1" TargetMode="External"/><Relationship Id="rId9" Type="http://schemas.openxmlformats.org/officeDocument/2006/relationships/hyperlink" Target="https://identitymalta.com/wp-content/uploads/2016/05/FAQ-V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42BEF-DCAB-594B-BD55-5ED717A9C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dc:creator>
  <cp:lastModifiedBy>Emma</cp:lastModifiedBy>
  <cp:revision>2</cp:revision>
  <cp:lastPrinted>2018-06-11T09:12:00Z</cp:lastPrinted>
  <dcterms:created xsi:type="dcterms:W3CDTF">2018-06-26T06:42:00Z</dcterms:created>
  <dcterms:modified xsi:type="dcterms:W3CDTF">2018-06-26T06:42:00Z</dcterms:modified>
</cp:coreProperties>
</file>